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pBdr>
          <w:bottom w:val="single" w:color="9C7A24" w:sz="18" w:space="1"/>
        </w:pBdr>
        <w:spacing w:after="500"/>
        <w:ind w:left="2400" w:right="2400"/>
        <w:jc w:val="center"/>
      </w:pPr>
      <w:r>
        <w:rPr>
          <w:sz w:val="8"/>
          <w:szCs w:val="8"/>
        </w:rPr>
        <w:t xml:space="preserve"> </w:t>
      </w:r>
    </w:p>
    <w:p>
      <w:pPr>
        <w:spacing w:after="100"/>
        <w:jc w:val="center"/>
      </w:pPr>
      <w:r>
        <w:rPr>
          <w:b/>
          <w:bCs/>
          <w:color w:val="1F3864"/>
          <w:sz w:val="32"/>
          <w:szCs w:val="32"/>
        </w:rPr>
        <w:t xml:space="preserve">[NOMBRE DEL COLEGIO]</w:t>
      </w:r>
    </w:p>
    <w:p>
      <w:pPr>
        <w:spacing w:after="800"/>
        <w:jc w:val="center"/>
      </w:pPr>
      <w:r>
        <w:rPr>
          <w:i/>
          <w:iCs/>
          <w:color w:val="595959"/>
          <w:sz w:val="22"/>
          <w:szCs w:val="22"/>
        </w:rPr>
        <w:t xml:space="preserve">Institución educativa de gestión privada confesional</w:t>
      </w:r>
    </w:p>
    <w:p>
      <w:pPr>
        <w:pBdr>
          <w:top w:val="single" w:color="9C7A24" w:sz="6" w:space="16"/>
          <w:bottom w:val="single" w:color="9C7A24" w:sz="6" w:space="16"/>
        </w:pBdr>
        <w:spacing w:after="400"/>
        <w:jc w:val="center"/>
      </w:pPr>
      <w:r>
        <w:rPr>
          <w:sz w:val="2"/>
          <w:szCs w:val="2"/>
        </w:rPr>
        <w:t xml:space="preserve"/>
      </w:r>
    </w:p>
    <w:p>
      <w:pPr>
        <w:spacing w:after="200"/>
        <w:jc w:val="center"/>
      </w:pPr>
      <w:r>
        <w:rPr>
          <w:b/>
          <w:bCs/>
          <w:color w:val="1F3864"/>
          <w:sz w:val="40"/>
          <w:szCs w:val="40"/>
        </w:rPr>
        <w:t xml:space="preserve">MANUAL DE PROCEDIMIENTOS ADMINISTRATIVOS</w:t>
      </w:r>
    </w:p>
    <w:p>
      <w:pPr>
        <w:spacing w:after="1600"/>
        <w:jc w:val="center"/>
      </w:pPr>
      <w:r>
        <w:rPr>
          <w:b/>
          <w:bCs/>
          <w:color w:val="9C7A24"/>
          <w:sz w:val="24"/>
          <w:szCs w:val="24"/>
        </w:rPr>
        <w:t xml:space="preserve">Modelo integral — Argentina</w:t>
      </w:r>
    </w:p>
    <w:p>
      <w:pPr>
        <w:spacing w:after="120"/>
        <w:jc w:val="center"/>
      </w:pPr>
      <w:r>
        <w:rPr>
          <w:color w:val="595959"/>
          <w:sz w:val="20"/>
          <w:szCs w:val="20"/>
        </w:rPr>
        <w:t xml:space="preserve">Documento de uso interno — Dirección General, Administración y Recursos Humanos</w:t>
      </w:r>
    </w:p>
    <w:p>
      <w:pPr>
        <w:spacing w:after="1600"/>
        <w:jc w:val="center"/>
      </w:pPr>
      <w:r>
        <w:rPr>
          <w:color w:val="595959"/>
          <w:sz w:val="20"/>
          <w:szCs w:val="20"/>
        </w:rPr>
        <w:t xml:space="preserve">Versión 1.0 — Agosto de 2026</w:t>
      </w:r>
    </w:p>
    <w:p>
      <w:pPr>
        <w:jc w:val="center"/>
      </w:pPr>
      <w:r>
        <w:rPr>
          <w:color w:val="808080"/>
          <w:sz w:val="18"/>
          <w:szCs w:val="18"/>
        </w:rPr>
        <w:t xml:space="preserve">Preparado por: Administración General</w:t>
      </w:r>
    </w:p>
    <w:p>
      <w:pPr>
        <w:jc w:val="center"/>
      </w:pPr>
      <w:r>
        <w:rPr>
          <w:color w:val="808080"/>
          <w:sz w:val="18"/>
          <w:szCs w:val="18"/>
        </w:rPr>
        <w:t xml:space="preserve">Aprobado por: Representante Legal / Entidad Propietaria</w:t>
      </w:r>
    </w:p>
    <w:p>
      <w:r>
        <w:br w:type="page"/>
      </w:r>
    </w:p>
    <w:p>
      <w:pPr>
        <w:pStyle w:val="Heading1"/>
        <w:pBdr>
          <w:bottom w:val="single" w:color="1F3864" w:sz="12" w:space="8"/>
        </w:pBdr>
        <w:spacing w:after="240"/>
      </w:pPr>
      <w:r>
        <w:rPr>
          <w:b/>
          <w:bCs/>
          <w:color w:val="1F3864"/>
        </w:rPr>
        <w:t xml:space="preserve">CONTROL DE VERSIONES</w:t>
      </w:r>
    </w:p>
    <w:p>
      <w:pPr>
        <w:spacing w:after="240"/>
      </w:pPr>
      <w:r>
        <w:rPr>
          <w:color w:val="262626"/>
          <w:sz w:val="21"/>
          <w:szCs w:val="21"/>
        </w:rPr>
        <w:t xml:space="preserve">Este cuadro debe actualizarse cada vez que se apruebe una modificación del Manual, conforme al procedimiento descripto en el Capítulo 15.</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Versión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Fecha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 del cambio</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Aprobado por</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1.0</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Agosto 2026</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Emisión inicial del Manual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Representante Legal</w:t>
            </w:r>
          </w:p>
        </w:tc>
      </w:tr>
      <w:tr>
        <w:tc>
          <w:tcPr>
            <w:tcW w:type="dxa" w:w="2337"/>
            <w:shd w:fill="F2F2F2" w:color="auto" w:val="clear"/>
            <w:tcMar>
              <w:top w:type="dxa" w:w="70"/>
              <w:left w:type="dxa" w:w="100"/>
              <w:bottom w:type="dxa" w:w="70"/>
              <w:right w:type="dxa" w:w="100"/>
            </w:tcMar>
            <w:vAlign w:val="center"/>
          </w:tcPr>
          <w:p>
            <w:pPr>
              <w:spacing w:after="0"/>
            </w:pPr>
            <w:r>
              <w:rPr>
                <w:sz w:val="21"/>
                <w:szCs w:val="21"/>
              </w:rPr>
              <w:t xml:space="preserve"/>
            </w:r>
          </w:p>
        </w:tc>
        <w:tc>
          <w:tcPr>
            <w:tcW w:type="dxa" w:w="2337"/>
            <w:shd w:fill="F2F2F2" w:color="auto" w:val="clear"/>
            <w:tcMar>
              <w:top w:type="dxa" w:w="70"/>
              <w:left w:type="dxa" w:w="100"/>
              <w:bottom w:type="dxa" w:w="70"/>
              <w:right w:type="dxa" w:w="100"/>
            </w:tcMar>
            <w:vAlign w:val="center"/>
          </w:tcPr>
          <w:p>
            <w:pPr>
              <w:spacing w:after="0"/>
            </w:pPr>
            <w:r>
              <w:rPr>
                <w:sz w:val="21"/>
                <w:szCs w:val="21"/>
              </w:rPr>
              <w:t xml:space="preserve"/>
            </w:r>
          </w:p>
        </w:tc>
        <w:tc>
          <w:tcPr>
            <w:tcW w:type="dxa" w:w="2337"/>
            <w:shd w:fill="F2F2F2" w:color="auto" w:val="clear"/>
            <w:tcMar>
              <w:top w:type="dxa" w:w="70"/>
              <w:left w:type="dxa" w:w="100"/>
              <w:bottom w:type="dxa" w:w="70"/>
              <w:right w:type="dxa" w:w="100"/>
            </w:tcMar>
            <w:vAlign w:val="center"/>
          </w:tcPr>
          <w:p>
            <w:pPr>
              <w:spacing w:after="0"/>
            </w:pPr>
            <w:r>
              <w:rPr>
                <w:sz w:val="21"/>
                <w:szCs w:val="21"/>
              </w:rPr>
              <w:t xml:space="preserve"/>
            </w:r>
          </w:p>
        </w:tc>
        <w:tc>
          <w:tcPr>
            <w:tcW w:type="dxa" w:w="2337"/>
            <w:shd w:fill="F2F2F2" w:color="auto" w:val="clear"/>
            <w:tcMar>
              <w:top w:type="dxa" w:w="70"/>
              <w:left w:type="dxa" w:w="100"/>
              <w:bottom w:type="dxa" w:w="70"/>
              <w:right w:type="dxa" w:w="100"/>
            </w:tcMar>
            <w:vAlign w:val="center"/>
          </w:tcPr>
          <w:p>
            <w:pPr>
              <w:spacing w:after="0"/>
            </w:pPr>
            <w:r>
              <w:rPr>
                <w:sz w:val="21"/>
                <w:szCs w:val="21"/>
              </w:rPr>
              <w:t xml:space="preserve"/>
            </w:r>
          </w:p>
        </w:tc>
      </w:tr>
      <w:tr>
        <w:tc>
          <w:tcPr>
            <w:tcW w:type="dxa" w:w="2337"/>
            <w:tcMar>
              <w:top w:type="dxa" w:w="70"/>
              <w:left w:type="dxa" w:w="100"/>
              <w:bottom w:type="dxa" w:w="70"/>
              <w:right w:type="dxa" w:w="100"/>
            </w:tcMar>
            <w:vAlign w:val="center"/>
          </w:tcPr>
          <w:p>
            <w:pPr>
              <w:spacing w:after="0"/>
            </w:pPr>
            <w:r>
              <w:rPr>
                <w:sz w:val="21"/>
                <w:szCs w:val="21"/>
              </w:rPr>
              <w:t xml:space="preserve"/>
            </w:r>
          </w:p>
        </w:tc>
        <w:tc>
          <w:tcPr>
            <w:tcW w:type="dxa" w:w="2337"/>
            <w:tcMar>
              <w:top w:type="dxa" w:w="70"/>
              <w:left w:type="dxa" w:w="100"/>
              <w:bottom w:type="dxa" w:w="70"/>
              <w:right w:type="dxa" w:w="100"/>
            </w:tcMar>
            <w:vAlign w:val="center"/>
          </w:tcPr>
          <w:p>
            <w:pPr>
              <w:spacing w:after="0"/>
            </w:pPr>
            <w:r>
              <w:rPr>
                <w:sz w:val="21"/>
                <w:szCs w:val="21"/>
              </w:rPr>
              <w:t xml:space="preserve"/>
            </w:r>
          </w:p>
        </w:tc>
        <w:tc>
          <w:tcPr>
            <w:tcW w:type="dxa" w:w="2337"/>
            <w:tcMar>
              <w:top w:type="dxa" w:w="70"/>
              <w:left w:type="dxa" w:w="100"/>
              <w:bottom w:type="dxa" w:w="70"/>
              <w:right w:type="dxa" w:w="100"/>
            </w:tcMar>
            <w:vAlign w:val="center"/>
          </w:tcPr>
          <w:p>
            <w:pPr>
              <w:spacing w:after="0"/>
            </w:pPr>
            <w:r>
              <w:rPr>
                <w:sz w:val="21"/>
                <w:szCs w:val="21"/>
              </w:rPr>
              <w:t xml:space="preserve"/>
            </w:r>
          </w:p>
        </w:tc>
        <w:tc>
          <w:tcPr>
            <w:tcW w:type="dxa" w:w="2337"/>
            <w:tcMar>
              <w:top w:type="dxa" w:w="70"/>
              <w:left w:type="dxa" w:w="100"/>
              <w:bottom w:type="dxa" w:w="70"/>
              <w:right w:type="dxa" w:w="100"/>
            </w:tcMar>
            <w:vAlign w:val="center"/>
          </w:tcPr>
          <w:p>
            <w:pPr>
              <w:spacing w:after="0"/>
            </w:pPr>
            <w:r>
              <w:rPr>
                <w:sz w:val="21"/>
                <w:szCs w:val="21"/>
              </w:rPr>
              <w:t xml:space="preserve"/>
            </w:r>
          </w:p>
        </w:tc>
      </w:tr>
    </w:tbl>
    <w:p>
      <w:pPr>
        <w:spacing w:after="160" w:before="400"/>
      </w:pPr>
      <w:r>
        <w:rPr>
          <w:b/>
          <w:bCs/>
          <w:color w:val="9C7A24"/>
          <w:sz w:val="22"/>
          <w:szCs w:val="22"/>
        </w:rPr>
        <w:t xml:space="preserve">Distribución y vigencia</w:t>
      </w:r>
    </w:p>
    <w:p>
      <w:pPr>
        <w:spacing w:after="160" w:line="300"/>
        <w:jc w:val="both"/>
      </w:pPr>
      <w:r>
        <w:rPr>
          <w:color w:val="262626"/>
          <w:sz w:val="21"/>
          <w:szCs w:val="21"/>
        </w:rPr>
        <w:t xml:space="preserve">Este Manual entra en vigencia a partir de su aprobación formal por el Representante Legal y la Entidad Propietaria, y se distribuye a todo el personal del colegio conforme al procedimiento del punto 15.3. Su versión vigente se conserva en Administración General y una copia de consulta en Secretaría Académica.</w:t>
      </w:r>
    </w:p>
    <w:p>
      <w:r>
        <w:br w:type="page"/>
      </w:r>
    </w:p>
    <w:p>
      <w:pPr>
        <w:pStyle w:val="Heading1"/>
        <w:pBdr>
          <w:bottom w:val="single" w:color="1F3864" w:sz="12" w:space="8"/>
        </w:pBdr>
        <w:spacing w:after="240"/>
      </w:pPr>
      <w:r>
        <w:rPr>
          <w:b/>
          <w:bCs/>
          <w:color w:val="1F3864"/>
        </w:rPr>
        <w:t xml:space="preserve">ÍNDICE</w:t>
      </w:r>
    </w:p>
    <w:p>
      <w:pPr>
        <w:tabs>
          <w:tab w:val="right" w:pos="9350" w:leader="dot"/>
        </w:tabs>
        <w:spacing w:after="140"/>
      </w:pPr>
      <w:r>
        <w:rPr>
          <w:b/>
          <w:bCs/>
          <w:color w:val="262626"/>
          <w:sz w:val="21"/>
          <w:szCs w:val="21"/>
        </w:rPr>
        <w:t xml:space="preserve">Capítulo 1 — Introducción</w:t>
      </w:r>
      <w:r>
        <w:ptab w:alignment="right" w:relativeTo="margin" w:leader="dot"/>
      </w:r>
      <w:r>
        <w:rPr>
          <w:b/>
          <w:bCs/>
          <w:color w:val="262626"/>
          <w:sz w:val="21"/>
          <w:szCs w:val="21"/>
        </w:rPr>
        <w:t xml:space="preserve">4</w:t>
      </w:r>
    </w:p>
    <w:p>
      <w:pPr>
        <w:tabs>
          <w:tab w:val="right" w:pos="9350" w:leader="dot"/>
        </w:tabs>
        <w:spacing w:after="140"/>
      </w:pPr>
      <w:r>
        <w:rPr>
          <w:b/>
          <w:bCs/>
          <w:color w:val="262626"/>
          <w:sz w:val="21"/>
          <w:szCs w:val="21"/>
        </w:rPr>
        <w:t xml:space="preserve">Capítulo 2 — Estructura organizativa y de gobierno</w:t>
      </w:r>
      <w:r>
        <w:ptab w:alignment="right" w:relativeTo="margin" w:leader="dot"/>
      </w:r>
      <w:r>
        <w:rPr>
          <w:b/>
          <w:bCs/>
          <w:color w:val="262626"/>
          <w:sz w:val="21"/>
          <w:szCs w:val="21"/>
        </w:rPr>
        <w:t xml:space="preserve">7</w:t>
      </w:r>
    </w:p>
    <w:p>
      <w:pPr>
        <w:tabs>
          <w:tab w:val="right" w:pos="9350" w:leader="dot"/>
        </w:tabs>
        <w:spacing w:after="140"/>
      </w:pPr>
      <w:r>
        <w:rPr>
          <w:b/>
          <w:bCs/>
          <w:color w:val="262626"/>
          <w:sz w:val="21"/>
          <w:szCs w:val="21"/>
        </w:rPr>
        <w:t xml:space="preserve">Capítulo 3 — Procedimiento de admisión y matrícula</w:t>
      </w:r>
      <w:r>
        <w:ptab w:alignment="right" w:relativeTo="margin" w:leader="dot"/>
      </w:r>
      <w:r>
        <w:rPr>
          <w:b/>
          <w:bCs/>
          <w:color w:val="262626"/>
          <w:sz w:val="21"/>
          <w:szCs w:val="21"/>
        </w:rPr>
        <w:t xml:space="preserve">9</w:t>
      </w:r>
    </w:p>
    <w:p>
      <w:pPr>
        <w:tabs>
          <w:tab w:val="right" w:pos="9350" w:leader="dot"/>
        </w:tabs>
        <w:spacing w:after="140"/>
      </w:pPr>
      <w:r>
        <w:rPr>
          <w:b/>
          <w:bCs/>
          <w:color w:val="262626"/>
          <w:sz w:val="21"/>
          <w:szCs w:val="21"/>
        </w:rPr>
        <w:t xml:space="preserve">Capítulo 4 — Secretaría académica</w:t>
      </w:r>
      <w:r>
        <w:ptab w:alignment="right" w:relativeTo="margin" w:leader="dot"/>
      </w:r>
      <w:r>
        <w:rPr>
          <w:b/>
          <w:bCs/>
          <w:color w:val="262626"/>
          <w:sz w:val="21"/>
          <w:szCs w:val="21"/>
        </w:rPr>
        <w:t xml:space="preserve">12</w:t>
      </w:r>
    </w:p>
    <w:p>
      <w:pPr>
        <w:tabs>
          <w:tab w:val="right" w:pos="9350" w:leader="dot"/>
        </w:tabs>
        <w:spacing w:after="140"/>
      </w:pPr>
      <w:r>
        <w:rPr>
          <w:b/>
          <w:bCs/>
          <w:color w:val="262626"/>
          <w:sz w:val="21"/>
          <w:szCs w:val="21"/>
        </w:rPr>
        <w:t xml:space="preserve">Capítulo 5 — Tesorería y administración financiera</w:t>
      </w:r>
      <w:r>
        <w:ptab w:alignment="right" w:relativeTo="margin" w:leader="dot"/>
      </w:r>
      <w:r>
        <w:rPr>
          <w:b/>
          <w:bCs/>
          <w:color w:val="262626"/>
          <w:sz w:val="21"/>
          <w:szCs w:val="21"/>
        </w:rPr>
        <w:t xml:space="preserve">14</w:t>
      </w:r>
    </w:p>
    <w:p>
      <w:pPr>
        <w:tabs>
          <w:tab w:val="right" w:pos="9350" w:leader="dot"/>
        </w:tabs>
        <w:spacing w:after="140"/>
      </w:pPr>
      <w:r>
        <w:rPr>
          <w:b/>
          <w:bCs/>
          <w:color w:val="262626"/>
          <w:sz w:val="21"/>
          <w:szCs w:val="21"/>
        </w:rPr>
        <w:t xml:space="preserve">Capítulo 6 — Recursos humanos</w:t>
      </w:r>
      <w:r>
        <w:ptab w:alignment="right" w:relativeTo="margin" w:leader="dot"/>
      </w:r>
      <w:r>
        <w:rPr>
          <w:b/>
          <w:bCs/>
          <w:color w:val="262626"/>
          <w:sz w:val="21"/>
          <w:szCs w:val="21"/>
        </w:rPr>
        <w:t xml:space="preserve">17</w:t>
      </w:r>
    </w:p>
    <w:p>
      <w:pPr>
        <w:tabs>
          <w:tab w:val="right" w:pos="9350" w:leader="dot"/>
        </w:tabs>
        <w:spacing w:after="140"/>
      </w:pPr>
      <w:r>
        <w:rPr>
          <w:b/>
          <w:bCs/>
          <w:color w:val="262626"/>
          <w:sz w:val="21"/>
          <w:szCs w:val="21"/>
        </w:rPr>
        <w:t xml:space="preserve">Capítulo 7 — Compras y proveedores</w:t>
      </w:r>
      <w:r>
        <w:ptab w:alignment="right" w:relativeTo="margin" w:leader="dot"/>
      </w:r>
      <w:r>
        <w:rPr>
          <w:b/>
          <w:bCs/>
          <w:color w:val="262626"/>
          <w:sz w:val="21"/>
          <w:szCs w:val="21"/>
        </w:rPr>
        <w:t xml:space="preserve">20</w:t>
      </w:r>
    </w:p>
    <w:p>
      <w:pPr>
        <w:tabs>
          <w:tab w:val="right" w:pos="9350" w:leader="dot"/>
        </w:tabs>
        <w:spacing w:after="140"/>
      </w:pPr>
      <w:r>
        <w:rPr>
          <w:b/>
          <w:bCs/>
          <w:color w:val="262626"/>
          <w:sz w:val="21"/>
          <w:szCs w:val="21"/>
        </w:rPr>
        <w:t xml:space="preserve">Capítulo 8 — Mantenimiento e infraestructura</w:t>
      </w:r>
      <w:r>
        <w:ptab w:alignment="right" w:relativeTo="margin" w:leader="dot"/>
      </w:r>
      <w:r>
        <w:rPr>
          <w:b/>
          <w:bCs/>
          <w:color w:val="262626"/>
          <w:sz w:val="21"/>
          <w:szCs w:val="21"/>
        </w:rPr>
        <w:t xml:space="preserve">22</w:t>
      </w:r>
    </w:p>
    <w:p>
      <w:pPr>
        <w:tabs>
          <w:tab w:val="right" w:pos="9350" w:leader="dot"/>
        </w:tabs>
        <w:spacing w:after="140"/>
      </w:pPr>
      <w:r>
        <w:rPr>
          <w:b/>
          <w:bCs/>
          <w:color w:val="262626"/>
          <w:sz w:val="21"/>
          <w:szCs w:val="21"/>
        </w:rPr>
        <w:t xml:space="preserve">Capítulo 9 — Seguridad, higiene y protocolos de emergencia</w:t>
      </w:r>
      <w:r>
        <w:ptab w:alignment="right" w:relativeTo="margin" w:leader="dot"/>
      </w:r>
      <w:r>
        <w:rPr>
          <w:b/>
          <w:bCs/>
          <w:color w:val="262626"/>
          <w:sz w:val="21"/>
          <w:szCs w:val="21"/>
        </w:rPr>
        <w:t xml:space="preserve">23</w:t>
      </w:r>
    </w:p>
    <w:p>
      <w:pPr>
        <w:tabs>
          <w:tab w:val="right" w:pos="9350" w:leader="dot"/>
        </w:tabs>
        <w:spacing w:after="140"/>
      </w:pPr>
      <w:r>
        <w:rPr>
          <w:b/>
          <w:bCs/>
          <w:color w:val="262626"/>
          <w:sz w:val="21"/>
          <w:szCs w:val="21"/>
        </w:rPr>
        <w:t xml:space="preserve">Capítulo 10 — Biblioteca y recursos pedagógicos</w:t>
      </w:r>
      <w:r>
        <w:ptab w:alignment="right" w:relativeTo="margin" w:leader="dot"/>
      </w:r>
      <w:r>
        <w:rPr>
          <w:b/>
          <w:bCs/>
          <w:color w:val="262626"/>
          <w:sz w:val="21"/>
          <w:szCs w:val="21"/>
        </w:rPr>
        <w:t xml:space="preserve">24</w:t>
      </w:r>
    </w:p>
    <w:p>
      <w:pPr>
        <w:tabs>
          <w:tab w:val="right" w:pos="9350" w:leader="dot"/>
        </w:tabs>
        <w:spacing w:after="140"/>
      </w:pPr>
      <w:r>
        <w:rPr>
          <w:b/>
          <w:bCs/>
          <w:color w:val="262626"/>
          <w:sz w:val="21"/>
          <w:szCs w:val="21"/>
        </w:rPr>
        <w:t xml:space="preserve">Capítulo 11 — Comunicación institucional y atención a familias</w:t>
      </w:r>
      <w:r>
        <w:ptab w:alignment="right" w:relativeTo="margin" w:leader="dot"/>
      </w:r>
      <w:r>
        <w:rPr>
          <w:b/>
          <w:bCs/>
          <w:color w:val="262626"/>
          <w:sz w:val="21"/>
          <w:szCs w:val="21"/>
        </w:rPr>
        <w:t xml:space="preserve">25</w:t>
      </w:r>
    </w:p>
    <w:p>
      <w:pPr>
        <w:tabs>
          <w:tab w:val="right" w:pos="9350" w:leader="dot"/>
        </w:tabs>
        <w:spacing w:after="140"/>
      </w:pPr>
      <w:r>
        <w:rPr>
          <w:b/>
          <w:bCs/>
          <w:color w:val="262626"/>
          <w:sz w:val="21"/>
          <w:szCs w:val="21"/>
        </w:rPr>
        <w:t xml:space="preserve">Capítulo 12 — Identidad y gestión pastoral</w:t>
      </w:r>
      <w:r>
        <w:ptab w:alignment="right" w:relativeTo="margin" w:leader="dot"/>
      </w:r>
      <w:r>
        <w:rPr>
          <w:b/>
          <w:bCs/>
          <w:color w:val="262626"/>
          <w:sz w:val="21"/>
          <w:szCs w:val="21"/>
        </w:rPr>
        <w:t xml:space="preserve">26</w:t>
      </w:r>
    </w:p>
    <w:p>
      <w:pPr>
        <w:tabs>
          <w:tab w:val="right" w:pos="9350" w:leader="dot"/>
        </w:tabs>
        <w:spacing w:after="140"/>
      </w:pPr>
      <w:r>
        <w:rPr>
          <w:b/>
          <w:bCs/>
          <w:color w:val="262626"/>
          <w:sz w:val="21"/>
          <w:szCs w:val="21"/>
        </w:rPr>
        <w:t xml:space="preserve">Capítulo 13 — Gestión documental, archivo y protección de datos</w:t>
      </w:r>
      <w:r>
        <w:ptab w:alignment="right" w:relativeTo="margin" w:leader="dot"/>
      </w:r>
      <w:r>
        <w:rPr>
          <w:b/>
          <w:bCs/>
          <w:color w:val="262626"/>
          <w:sz w:val="21"/>
          <w:szCs w:val="21"/>
        </w:rPr>
        <w:t xml:space="preserve">27</w:t>
      </w:r>
    </w:p>
    <w:p>
      <w:pPr>
        <w:tabs>
          <w:tab w:val="right" w:pos="9350" w:leader="dot"/>
        </w:tabs>
        <w:spacing w:after="140"/>
      </w:pPr>
      <w:r>
        <w:rPr>
          <w:b/>
          <w:bCs/>
          <w:color w:val="262626"/>
          <w:sz w:val="21"/>
          <w:szCs w:val="21"/>
        </w:rPr>
        <w:t xml:space="preserve">Capítulo 14 — Gobierno de crisis y continuidad institucional</w:t>
      </w:r>
      <w:r>
        <w:ptab w:alignment="right" w:relativeTo="margin" w:leader="dot"/>
      </w:r>
      <w:r>
        <w:rPr>
          <w:b/>
          <w:bCs/>
          <w:color w:val="262626"/>
          <w:sz w:val="21"/>
          <w:szCs w:val="21"/>
        </w:rPr>
        <w:t xml:space="preserve">29</w:t>
      </w:r>
    </w:p>
    <w:p>
      <w:pPr>
        <w:tabs>
          <w:tab w:val="right" w:pos="9350" w:leader="dot"/>
        </w:tabs>
        <w:spacing w:after="140"/>
      </w:pPr>
      <w:r>
        <w:rPr>
          <w:b/>
          <w:bCs/>
          <w:color w:val="262626"/>
          <w:sz w:val="21"/>
          <w:szCs w:val="21"/>
        </w:rPr>
        <w:t xml:space="preserve">Capítulo 15 — Revisión, actualización y vigencia del Manual</w:t>
      </w:r>
      <w:r>
        <w:ptab w:alignment="right" w:relativeTo="margin" w:leader="dot"/>
      </w:r>
      <w:r>
        <w:rPr>
          <w:b/>
          <w:bCs/>
          <w:color w:val="262626"/>
          <w:sz w:val="21"/>
          <w:szCs w:val="21"/>
        </w:rPr>
        <w:t xml:space="preserve">30</w:t>
      </w:r>
    </w:p>
    <w:p>
      <w:pPr>
        <w:tabs>
          <w:tab w:val="right" w:pos="9350" w:leader="dot"/>
        </w:tabs>
        <w:spacing w:after="140"/>
        <w:ind w:left="300"/>
      </w:pPr>
      <w:r>
        <w:rPr>
          <w:b w:val="false"/>
          <w:bCs w:val="false"/>
          <w:color w:val="262626"/>
          <w:sz w:val="21"/>
          <w:szCs w:val="21"/>
        </w:rPr>
        <w:t xml:space="preserve">Anexo A — Glosario de términos y siglas</w:t>
      </w:r>
      <w:r>
        <w:ptab w:alignment="right" w:relativeTo="margin" w:leader="dot"/>
      </w:r>
      <w:r>
        <w:rPr>
          <w:b w:val="false"/>
          <w:bCs w:val="false"/>
          <w:color w:val="262626"/>
          <w:sz w:val="21"/>
          <w:szCs w:val="21"/>
        </w:rPr>
        <w:t xml:space="preserve">31</w:t>
      </w:r>
    </w:p>
    <w:p>
      <w:pPr>
        <w:tabs>
          <w:tab w:val="right" w:pos="9350" w:leader="dot"/>
        </w:tabs>
        <w:spacing w:after="140"/>
        <w:ind w:left="300"/>
      </w:pPr>
      <w:r>
        <w:rPr>
          <w:b w:val="false"/>
          <w:bCs w:val="false"/>
          <w:color w:val="262626"/>
          <w:sz w:val="21"/>
          <w:szCs w:val="21"/>
        </w:rPr>
        <w:t xml:space="preserve">Anexo B — Modelos de formularios de referencia</w:t>
      </w:r>
      <w:r>
        <w:ptab w:alignment="right" w:relativeTo="margin" w:leader="dot"/>
      </w:r>
      <w:r>
        <w:rPr>
          <w:b w:val="false"/>
          <w:bCs w:val="false"/>
          <w:color w:val="262626"/>
          <w:sz w:val="21"/>
          <w:szCs w:val="21"/>
        </w:rPr>
        <w:t xml:space="preserve">32</w:t>
      </w:r>
    </w:p>
    <w:p>
      <w:pPr>
        <w:tabs>
          <w:tab w:val="right" w:pos="9350" w:leader="dot"/>
        </w:tabs>
        <w:spacing w:after="140"/>
        <w:ind w:left="300"/>
      </w:pPr>
      <w:r>
        <w:rPr>
          <w:b w:val="false"/>
          <w:bCs w:val="false"/>
          <w:color w:val="262626"/>
          <w:sz w:val="21"/>
          <w:szCs w:val="21"/>
        </w:rPr>
        <w:t xml:space="preserve">Anexo C — Flujogramas resumidos de los principales circuitos</w:t>
      </w:r>
      <w:r>
        <w:ptab w:alignment="right" w:relativeTo="margin" w:leader="dot"/>
      </w:r>
      <w:r>
        <w:rPr>
          <w:b w:val="false"/>
          <w:bCs w:val="false"/>
          <w:color w:val="262626"/>
          <w:sz w:val="21"/>
          <w:szCs w:val="21"/>
        </w:rPr>
        <w:t xml:space="preserve">34</w:t>
      </w:r>
    </w:p>
    <w:p>
      <w:pPr>
        <w:tabs>
          <w:tab w:val="right" w:pos="9350" w:leader="dot"/>
        </w:tabs>
        <w:spacing w:after="140"/>
        <w:ind w:left="300"/>
      </w:pPr>
      <w:r>
        <w:rPr>
          <w:b w:val="false"/>
          <w:bCs w:val="false"/>
          <w:color w:val="262626"/>
          <w:sz w:val="21"/>
          <w:szCs w:val="21"/>
        </w:rPr>
        <w:t xml:space="preserve">Anexo D — Normativa de referencia citada (verificada)</w:t>
      </w:r>
      <w:r>
        <w:ptab w:alignment="right" w:relativeTo="margin" w:leader="dot"/>
      </w:r>
      <w:r>
        <w:rPr>
          <w:b w:val="false"/>
          <w:bCs w:val="false"/>
          <w:color w:val="262626"/>
          <w:sz w:val="21"/>
          <w:szCs w:val="21"/>
        </w:rPr>
        <w:t xml:space="preserve">35</w:t>
      </w:r>
    </w:p>
    <w:p>
      <w:r>
        <w:br w:type="page"/>
      </w:r>
    </w:p>
    <w:p>
      <w:pPr>
        <w:pStyle w:val="Heading1"/>
        <w:pBdr>
          <w:bottom w:val="single" w:color="1F3864" w:sz="12" w:space="8"/>
        </w:pBdr>
        <w:spacing w:after="240" w:before="0"/>
      </w:pPr>
      <w:r>
        <w:rPr>
          <w:b/>
          <w:bCs/>
          <w:color w:val="1F3864"/>
        </w:rPr>
        <w:t xml:space="preserve">CAPÍTULO 1 — INTRODUCCIÓN</w:t>
      </w:r>
    </w:p>
    <w:p>
      <w:pPr>
        <w:pStyle w:val="Heading2"/>
        <w:spacing w:after="160" w:before="320"/>
      </w:pPr>
      <w:r>
        <w:rPr>
          <w:b/>
          <w:bCs/>
          <w:color w:val="1F3864"/>
        </w:rPr>
        <w:t xml:space="preserve">1.1 Objetivo del Manual</w:t>
      </w:r>
    </w:p>
    <w:p>
      <w:pPr>
        <w:spacing w:after="160" w:line="300"/>
        <w:jc w:val="both"/>
      </w:pPr>
      <w:r>
        <w:rPr>
          <w:b w:val="false"/>
          <w:bCs w:val="false"/>
          <w:color w:val="262626"/>
          <w:sz w:val="21"/>
          <w:szCs w:val="21"/>
        </w:rPr>
        <w:t xml:space="preserve">El presente Manual de Procedimientos Administrativos (en adelante, "el Manual") tiene por objeto establecer, ordenar y estandarizar los circuitos administrativos de la Institución, de manera que cada colaborador —directivo, docente, administrativo, de maestranza o de mantenimiento— conozca con precisión qué debe hacer, en qué orden, con qué documentación, en qué plazo y ante quién responde.</w:t>
      </w:r>
    </w:p>
    <w:p>
      <w:pPr>
        <w:spacing w:after="160" w:line="300"/>
        <w:jc w:val="both"/>
      </w:pPr>
      <w:r>
        <w:rPr>
          <w:b w:val="false"/>
          <w:bCs w:val="false"/>
          <w:color w:val="262626"/>
          <w:sz w:val="21"/>
          <w:szCs w:val="21"/>
        </w:rPr>
        <w:t xml:space="preserve">Un colegio no es solo un proyecto pedagógico: es una organización que administra matrícula, fondos, legajos de personas menores de edad, personal bajo relación de dependencia y un vínculo permanente con la autoridad educativa jurisdiccional y, en este caso, con la entidad religiosa titular del establecimiento. La ausencia de procedimientos escritos traslada el conocimiento crítico a la memoria de las personas, y ese conocimiento se pierde cada vez que alguien deja el cargo. Este Manual busca cerrar esa brecha.</w:t>
      </w:r>
    </w:p>
    <w:p>
      <w:pPr>
        <w:spacing w:after="160" w:line="300"/>
        <w:jc w:val="both"/>
      </w:pPr>
      <w:r>
        <w:rPr>
          <w:b w:val="false"/>
          <w:bCs w:val="false"/>
          <w:color w:val="262626"/>
          <w:sz w:val="21"/>
          <w:szCs w:val="21"/>
        </w:rPr>
        <w:t xml:space="preserve">Específicamente, el Manual persigue:</w:t>
      </w:r>
    </w:p>
    <w:p>
      <w:pPr>
        <w:pStyle w:val="ListParagraph"/>
        <w:numPr>
          <w:ilvl w:val="0"/>
          <w:numId w:val="1"/>
        </w:numPr>
        <w:spacing w:after="60"/>
      </w:pPr>
      <w:r>
        <w:rPr>
          <w:b w:val="false"/>
          <w:bCs w:val="false"/>
          <w:color w:val="262626"/>
          <w:sz w:val="21"/>
          <w:szCs w:val="21"/>
        </w:rPr>
        <w:t xml:space="preserve">Unificar criterios de actuación entre las distintas áreas administrativas del colegio.</w:t>
      </w:r>
    </w:p>
    <w:p>
      <w:pPr>
        <w:pStyle w:val="ListParagraph"/>
        <w:numPr>
          <w:ilvl w:val="0"/>
          <w:numId w:val="1"/>
        </w:numPr>
        <w:spacing w:after="60"/>
      </w:pPr>
      <w:r>
        <w:rPr>
          <w:b w:val="false"/>
          <w:bCs w:val="false"/>
          <w:color w:val="262626"/>
          <w:sz w:val="21"/>
          <w:szCs w:val="21"/>
        </w:rPr>
        <w:t xml:space="preserve">Servir de base de inducción para el personal que se incorpora.</w:t>
      </w:r>
    </w:p>
    <w:p>
      <w:pPr>
        <w:pStyle w:val="ListParagraph"/>
        <w:numPr>
          <w:ilvl w:val="0"/>
          <w:numId w:val="1"/>
        </w:numPr>
        <w:spacing w:after="60"/>
      </w:pPr>
      <w:r>
        <w:rPr>
          <w:b w:val="false"/>
          <w:bCs w:val="false"/>
          <w:color w:val="262626"/>
          <w:sz w:val="21"/>
          <w:szCs w:val="21"/>
        </w:rPr>
        <w:t xml:space="preserve">Facilitar el control interno y la trazabilidad de las decisiones administrativas.</w:t>
      </w:r>
    </w:p>
    <w:p>
      <w:pPr>
        <w:pStyle w:val="ListParagraph"/>
        <w:numPr>
          <w:ilvl w:val="0"/>
          <w:numId w:val="1"/>
        </w:numPr>
        <w:spacing w:after="60"/>
      </w:pPr>
      <w:r>
        <w:rPr>
          <w:b w:val="false"/>
          <w:bCs w:val="false"/>
          <w:color w:val="262626"/>
          <w:sz w:val="21"/>
          <w:szCs w:val="21"/>
        </w:rPr>
        <w:t xml:space="preserve">Dar cumplimiento verificable a las obligaciones que impone la normativa educativa, laboral, impositiva y de protección de datos aplicable.</w:t>
      </w:r>
    </w:p>
    <w:p>
      <w:pPr>
        <w:pStyle w:val="ListParagraph"/>
        <w:numPr>
          <w:ilvl w:val="0"/>
          <w:numId w:val="1"/>
        </w:numPr>
        <w:spacing w:after="60"/>
      </w:pPr>
      <w:r>
        <w:rPr>
          <w:b w:val="false"/>
          <w:bCs w:val="false"/>
          <w:color w:val="262626"/>
          <w:sz w:val="21"/>
          <w:szCs w:val="21"/>
        </w:rPr>
        <w:t xml:space="preserve">Sostener, en cada procedimiento administrativo, la coherencia con el ideario y el proyecto educativo institucional de raíz confesional.</w:t>
      </w:r>
    </w:p>
    <w:p>
      <w:pPr>
        <w:pStyle w:val="Heading2"/>
        <w:spacing w:after="160" w:before="320"/>
      </w:pPr>
      <w:r>
        <w:rPr>
          <w:b/>
          <w:bCs/>
          <w:color w:val="1F3864"/>
        </w:rPr>
        <w:t xml:space="preserve">1.2 Alcance</w:t>
      </w:r>
    </w:p>
    <w:p>
      <w:pPr>
        <w:spacing w:after="160" w:line="300"/>
        <w:jc w:val="both"/>
      </w:pPr>
      <w:r>
        <w:rPr>
          <w:b w:val="false"/>
          <w:bCs w:val="false"/>
          <w:color w:val="262626"/>
          <w:sz w:val="21"/>
          <w:szCs w:val="21"/>
        </w:rPr>
        <w:t xml:space="preserve">Este Manual alcanza a todas las áreas de gestión administrativa del colegio: Dirección General, Secretaría Académica, Administración y Tesorería, Recursos Humanos, Compras y Proveedores, Mantenimiento e Infraestructura, Seguridad e Higiene, Biblioteca, Comunicación Institucional y Pastoral/Capellanía en su dimensión administrativa. No regula cuestiones estrictamente pedagógico-didácticas (planificación áulica, criterios de evaluación de contenidos, proyecto curricular institucional), que se desarrollan en el Proyecto Educativo Institucional (PEI) y en el Reglamento Académico correspondiente.</w:t>
      </w:r>
    </w:p>
    <w:p>
      <w:pPr>
        <w:spacing w:after="160" w:line="300"/>
        <w:jc w:val="both"/>
      </w:pPr>
      <w:r>
        <w:rPr>
          <w:b w:val="false"/>
          <w:bCs w:val="false"/>
          <w:color w:val="262626"/>
          <w:sz w:val="21"/>
          <w:szCs w:val="21"/>
        </w:rPr>
        <w:t xml:space="preserve">Es de aplicación obligatoria para todo el personal del establecimiento, cualquiera sea su vínculo contractual (planta permanente, suplente, contratado, personal de servicios tercerizado que opere dentro de circuitos administrativos del colegio).</w:t>
      </w:r>
    </w:p>
    <w:p>
      <w:pPr>
        <w:pStyle w:val="Heading2"/>
        <w:spacing w:after="160" w:before="320"/>
      </w:pPr>
      <w:r>
        <w:rPr>
          <w:b/>
          <w:bCs/>
          <w:color w:val="1F3864"/>
        </w:rPr>
        <w:t xml:space="preserve">1.3 Marco normativo de referencia</w:t>
      </w:r>
    </w:p>
    <w:p>
      <w:pPr>
        <w:spacing w:after="160" w:line="300"/>
        <w:jc w:val="both"/>
      </w:pPr>
      <w:r>
        <w:rPr>
          <w:b w:val="false"/>
          <w:bCs w:val="false"/>
          <w:color w:val="262626"/>
          <w:sz w:val="21"/>
          <w:szCs w:val="21"/>
        </w:rPr>
        <w:t xml:space="preserve">[Suponiendo] Dado que la organización educativa en la República Argentina está descentralizada en 24 jurisdicciones (23 provincias más la Ciudad Autónoma de Buenos Aires), cada una con su propio organismo de contralor de la educación de gestión privada, este Manual fue redactado tomando como modelo de referencia el marco normativo nacional y el de la Provincia de Buenos Aires (DIPREGEP), por ser uno de los regímenes más utilizados como referencia técnica en el sector. </w:t>
      </w:r>
      <w:r>
        <w:rPr>
          <w:b/>
          <w:bCs/>
          <w:color w:val="262626"/>
          <w:sz w:val="21"/>
          <w:szCs w:val="21"/>
        </w:rPr>
        <w:t xml:space="preserve">Antes de poner en vigencia este Manual, el equipo directivo debe reemplazar toda referencia a organismos y normas provinciales por los correspondientes a su propia jurisdicción</w:t>
      </w:r>
      <w:r>
        <w:rPr>
          <w:b w:val="false"/>
          <w:bCs w:val="false"/>
          <w:color w:val="262626"/>
          <w:sz w:val="21"/>
          <w:szCs w:val="21"/>
        </w:rPr>
        <w:t xml:space="preserve"> (Ciudad de Buenos Aires, Córdoba, Santa Fe, Mendoza, etc.), y validarlo con asesoría legal propia.</w:t>
      </w:r>
    </w:p>
    <w:p>
      <w:pPr>
        <w:spacing w:after="160" w:line="300"/>
        <w:jc w:val="both"/>
      </w:pPr>
      <w:r>
        <w:rPr>
          <w:b w:val="false"/>
          <w:bCs w:val="false"/>
          <w:color w:val="262626"/>
          <w:sz w:val="21"/>
          <w:szCs w:val="21"/>
        </w:rPr>
        <w:t xml:space="preserve">Normativa de referencia verificada al momento de redacción de este Manual (agosto de 2026):</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3116"/>
        <w:gridCol w:w="3116"/>
        <w:gridCol w:w="3116"/>
      </w:tblGrid>
      <w:tr>
        <w:trPr>
          <w:tblHeader/>
        </w:trPr>
        <w:tc>
          <w:tcPr>
            <w:tcW w:type="dxa" w:w="3116"/>
            <w:shd w:fill="1F3864" w:color="auto" w:val="clear"/>
            <w:tcMar>
              <w:top w:type="dxa" w:w="80"/>
              <w:left w:type="dxa" w:w="100"/>
              <w:bottom w:type="dxa" w:w="80"/>
              <w:right w:type="dxa" w:w="100"/>
            </w:tcMar>
            <w:vAlign w:val="center"/>
          </w:tcPr>
          <w:p>
            <w:r>
              <w:rPr>
                <w:b/>
                <w:bCs/>
                <w:color w:val="FFFFFF"/>
                <w:sz w:val="18"/>
                <w:szCs w:val="18"/>
              </w:rPr>
              <w:t xml:space="preserve">Norma / Organismo</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Materia que regula</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Nivel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Ley N° 26.206 (Ley de Educación Nacional)</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Estructura del sistema educativo, derechos y obligaciones, reconocimiento de la educación de gestión privada</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Ley N° 13.047 y su reglamentación</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Estatuto del Docente de Establecimientos de Enseñanza Privada (régimen laboral docente privado, aportes del Estado, equiparación salarial)</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Ley N° 24.049</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Transferencia de servicios educativos a las provincias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Dirección de Educación de Gestión Privada / DIPREGEP (según jurisdicción)</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Incorporación a la enseñanza oficial, habilitación, supervisión de institutos privados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Provincial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Estatuto del Docente provincial (p. ej. Ley 10.579 en Pcia. de Buenos Aires)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Régimen de licencias, franquicias, junta de clasificación, sanciones disciplinarias docentes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Provincial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Ley N° 20.744 (Ley de Contrato de Trabajo)</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Régimen laboral del personal no docente</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SADOP (Sindicato Argentino de Docentes Particulares) — Convenio Colectivo de Trabajo</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Condiciones laborales y escala salarial del personal docente de gestión privada</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Nacional/sectorial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Ley N° 25.326 (Protección de los Datos Personales) y Agencia de Acceso a la Información Pública</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Tratamiento de datos personales de alumnos, familias y personal</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ARCA — Agencia de Recaudación y Control Aduanero (organismo que reemplazó a la AFIP por Decreto N° 953/2024)</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Facturación, retenciones, obligaciones impositivas y de la seguridad social</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CONSUDEC (Consejo Superior de Educación Católica) — para instituciones católicas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Orientación y representación institucional de la educación católica ante el Estado</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Sectorial/confesional</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Ley N° 24.557 (Riesgos del Trabajo)</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Cobertura de ART, prevención de accidentes y enfermedades laborales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Nacional</w:t>
            </w:r>
          </w:p>
        </w:tc>
      </w:tr>
    </w:tbl>
    <w:p>
      <w:pPr>
        <w:spacing w:after="200"/>
      </w:pPr>
    </w:p>
    <w:p>
      <w:pPr>
        <w:pBdr>
          <w:left w:val="single" w:color="9C7A24" w:sz="18" w:space="8"/>
        </w:pBdr>
        <w:shd w:fill="FBF6EC" w:color="auto" w:val="clear"/>
        <w:spacing w:after="120" w:before="120"/>
        <w:ind w:left="360"/>
      </w:pPr>
      <w:r>
        <w:rPr>
          <w:i/>
          <w:iCs/>
          <w:color w:val="595959"/>
          <w:sz w:val="20"/>
          <w:szCs w:val="20"/>
        </w:rPr>
        <w:t xml:space="preserve">Nota de responsabilidad: este Manual no reemplaza el asesoramiento legal, laboral, contable ni impositivo específico. Cada procedimiento con impacto normativo directo debe ser validado periódicamente con los asesores profesionales del colegio, dado que la normativa citada puede modificarse.</w:t>
      </w:r>
    </w:p>
    <w:p>
      <w:pPr>
        <w:pStyle w:val="Heading2"/>
        <w:spacing w:after="160" w:before="320"/>
      </w:pPr>
      <w:r>
        <w:rPr>
          <w:b/>
          <w:bCs/>
          <w:color w:val="1F3864"/>
        </w:rPr>
        <w:t xml:space="preserve">1.4 Definiciones y glosario básico</w:t>
      </w:r>
    </w:p>
    <w:p>
      <w:pPr>
        <w:pStyle w:val="ListParagraph"/>
        <w:numPr>
          <w:ilvl w:val="0"/>
          <w:numId w:val="1"/>
        </w:numPr>
        <w:spacing w:after="60"/>
      </w:pPr>
      <w:r>
        <w:rPr>
          <w:b/>
          <w:bCs/>
          <w:color w:val="262626"/>
          <w:sz w:val="21"/>
          <w:szCs w:val="21"/>
        </w:rPr>
        <w:t xml:space="preserve">Representante Legal:</w:t>
      </w:r>
      <w:r>
        <w:rPr>
          <w:b w:val="false"/>
          <w:bCs w:val="false"/>
          <w:color w:val="262626"/>
          <w:sz w:val="21"/>
          <w:szCs w:val="21"/>
        </w:rPr>
        <w:t xml:space="preserve"> persona física que, ante la autoridad educativa, asume la responsabilidad jurídica, administrativa y económica del establecimiento.</w:t>
      </w:r>
    </w:p>
    <w:p>
      <w:pPr>
        <w:pStyle w:val="ListParagraph"/>
        <w:numPr>
          <w:ilvl w:val="0"/>
          <w:numId w:val="1"/>
        </w:numPr>
        <w:spacing w:after="60"/>
      </w:pPr>
      <w:r>
        <w:rPr>
          <w:b/>
          <w:bCs/>
          <w:color w:val="262626"/>
          <w:sz w:val="21"/>
          <w:szCs w:val="21"/>
        </w:rPr>
        <w:t xml:space="preserve">Entidad Propietaria:</w:t>
      </w:r>
      <w:r>
        <w:rPr>
          <w:b w:val="false"/>
          <w:bCs w:val="false"/>
          <w:color w:val="262626"/>
          <w:sz w:val="21"/>
          <w:szCs w:val="21"/>
        </w:rPr>
        <w:t xml:space="preserve"> persona jurídica (asociación civil, congregación religiosa, fundación, obra diocesana) titular del establecimiento educativo.</w:t>
      </w:r>
    </w:p>
    <w:p>
      <w:pPr>
        <w:pStyle w:val="ListParagraph"/>
        <w:numPr>
          <w:ilvl w:val="0"/>
          <w:numId w:val="1"/>
        </w:numPr>
        <w:spacing w:after="60"/>
      </w:pPr>
      <w:r>
        <w:rPr>
          <w:b/>
          <w:bCs/>
          <w:color w:val="262626"/>
          <w:sz w:val="21"/>
          <w:szCs w:val="21"/>
        </w:rPr>
        <w:t xml:space="preserve">DIPREGEP / Dirección de Educación de Gestión Privada:</w:t>
      </w:r>
      <w:r>
        <w:rPr>
          <w:b w:val="false"/>
          <w:bCs w:val="false"/>
          <w:color w:val="262626"/>
          <w:sz w:val="21"/>
          <w:szCs w:val="21"/>
        </w:rPr>
        <w:t xml:space="preserve"> organismo provincial de contralor de los institutos privados (el nombre varía según jurisdicción).</w:t>
      </w:r>
    </w:p>
    <w:p>
      <w:pPr>
        <w:pStyle w:val="ListParagraph"/>
        <w:numPr>
          <w:ilvl w:val="0"/>
          <w:numId w:val="1"/>
        </w:numPr>
        <w:spacing w:after="60"/>
      </w:pPr>
      <w:r>
        <w:rPr>
          <w:b/>
          <w:bCs/>
          <w:color w:val="262626"/>
          <w:sz w:val="21"/>
          <w:szCs w:val="21"/>
        </w:rPr>
        <w:t xml:space="preserve">Libro Matriz:</w:t>
      </w:r>
      <w:r>
        <w:rPr>
          <w:b w:val="false"/>
          <w:bCs w:val="false"/>
          <w:color w:val="262626"/>
          <w:sz w:val="21"/>
          <w:szCs w:val="21"/>
        </w:rPr>
        <w:t xml:space="preserve"> registro oficial y foliado donde se asienta la matrícula histórica de cada alumno.</w:t>
      </w:r>
    </w:p>
    <w:p>
      <w:pPr>
        <w:pStyle w:val="ListParagraph"/>
        <w:numPr>
          <w:ilvl w:val="0"/>
          <w:numId w:val="1"/>
        </w:numPr>
        <w:spacing w:after="60"/>
      </w:pPr>
      <w:r>
        <w:rPr>
          <w:b/>
          <w:bCs/>
          <w:color w:val="262626"/>
          <w:sz w:val="21"/>
          <w:szCs w:val="21"/>
        </w:rPr>
        <w:t xml:space="preserve">Legajo:</w:t>
      </w:r>
      <w:r>
        <w:rPr>
          <w:b w:val="false"/>
          <w:bCs w:val="false"/>
          <w:color w:val="262626"/>
          <w:sz w:val="21"/>
          <w:szCs w:val="21"/>
        </w:rPr>
        <w:t xml:space="preserve"> carpeta (física o digital) que reúne toda la documentación de una persona (alumno o empleado).</w:t>
      </w:r>
    </w:p>
    <w:p>
      <w:pPr>
        <w:pStyle w:val="ListParagraph"/>
        <w:numPr>
          <w:ilvl w:val="0"/>
          <w:numId w:val="1"/>
        </w:numPr>
        <w:spacing w:after="60"/>
      </w:pPr>
      <w:r>
        <w:rPr>
          <w:b/>
          <w:bCs/>
          <w:color w:val="262626"/>
          <w:sz w:val="21"/>
          <w:szCs w:val="21"/>
        </w:rPr>
        <w:t xml:space="preserve">CUE / CUI:</w:t>
      </w:r>
      <w:r>
        <w:rPr>
          <w:b w:val="false"/>
          <w:bCs w:val="false"/>
          <w:color w:val="262626"/>
          <w:sz w:val="21"/>
          <w:szCs w:val="21"/>
        </w:rPr>
        <w:t xml:space="preserve"> Clave Única de Establecimiento, código de identificación del colegio ante el sistema educativo.</w:t>
      </w:r>
    </w:p>
    <w:p>
      <w:pPr>
        <w:pStyle w:val="ListParagraph"/>
        <w:numPr>
          <w:ilvl w:val="0"/>
          <w:numId w:val="1"/>
        </w:numPr>
        <w:spacing w:after="60"/>
      </w:pPr>
      <w:r>
        <w:rPr>
          <w:b/>
          <w:bCs/>
          <w:color w:val="262626"/>
          <w:sz w:val="21"/>
          <w:szCs w:val="21"/>
        </w:rPr>
        <w:t xml:space="preserve">Ideario institucional:</w:t>
      </w:r>
      <w:r>
        <w:rPr>
          <w:b w:val="false"/>
          <w:bCs w:val="false"/>
          <w:color w:val="262626"/>
          <w:sz w:val="21"/>
          <w:szCs w:val="21"/>
        </w:rPr>
        <w:t xml:space="preserve"> conjunto de principios, valores y orientación confesional que definen la identidad del colegio y que deben guardar coherencia con toda decisión administrativa relevante (admisión, comunicación, régimen disciplinario, etc.).</w:t>
      </w:r>
    </w:p>
    <w:p>
      <w:pPr>
        <w:pStyle w:val="Heading2"/>
        <w:spacing w:after="160" w:before="320"/>
      </w:pPr>
      <w:r>
        <w:rPr>
          <w:b/>
          <w:bCs/>
          <w:color w:val="1F3864"/>
        </w:rPr>
        <w:t xml:space="preserve">1.5 Responsables de actualización y revisión</w:t>
      </w:r>
    </w:p>
    <w:p>
      <w:pPr>
        <w:spacing w:after="160" w:line="300"/>
        <w:jc w:val="both"/>
      </w:pPr>
      <w:r>
        <w:rPr>
          <w:b w:val="false"/>
          <w:bCs w:val="false"/>
          <w:color w:val="262626"/>
          <w:sz w:val="21"/>
          <w:szCs w:val="21"/>
        </w:rPr>
        <w:t xml:space="preserve">La Dirección General, con el aval del Representante Legal y la asesoría de las áreas de Administración y Recursos Humanos, es responsable de mantener este Manual actualizado. El detalle del procedimiento de revisión se desarrolla en el Capítulo 15.</w:t>
      </w:r>
    </w:p>
    <w:p>
      <w:pPr>
        <w:pStyle w:val="Heading1"/>
        <w:pageBreakBefore/>
        <w:pBdr>
          <w:bottom w:val="single" w:color="1F3864" w:sz="12" w:space="8"/>
        </w:pBdr>
        <w:spacing w:after="240" w:before="0"/>
      </w:pPr>
      <w:r>
        <w:rPr>
          <w:b/>
          <w:bCs/>
          <w:color w:val="1F3864"/>
        </w:rPr>
        <w:t xml:space="preserve">CAPÍTULO 2 — ESTRUCTURA ORGANIZATIVA Y DE GOBIERNO</w:t>
      </w:r>
    </w:p>
    <w:p>
      <w:pPr>
        <w:pStyle w:val="Heading2"/>
        <w:spacing w:after="160" w:before="320"/>
      </w:pPr>
      <w:r>
        <w:rPr>
          <w:b/>
          <w:bCs/>
          <w:color w:val="1F3864"/>
        </w:rPr>
        <w:t xml:space="preserve">2.1 Órganos de gobierno</w:t>
      </w:r>
    </w:p>
    <w:p>
      <w:pPr>
        <w:spacing w:after="160" w:line="300"/>
        <w:jc w:val="both"/>
      </w:pPr>
      <w:r>
        <w:rPr>
          <w:b w:val="false"/>
          <w:bCs w:val="false"/>
          <w:color w:val="262626"/>
          <w:sz w:val="21"/>
          <w:szCs w:val="21"/>
        </w:rPr>
        <w:t xml:space="preserve">En un colegio privado confesional coexisten dos planos de gobierno que deben estar claramente diferenciados en este Manual para evitar superposiciones de autoridad:</w:t>
      </w:r>
    </w:p>
    <w:p>
      <w:pPr>
        <w:pStyle w:val="ListParagraph"/>
        <w:numPr>
          <w:ilvl w:val="0"/>
          <w:numId w:val="1"/>
        </w:numPr>
        <w:spacing w:after="60"/>
      </w:pPr>
      <w:r>
        <w:rPr>
          <w:b/>
          <w:bCs/>
          <w:color w:val="262626"/>
          <w:sz w:val="21"/>
          <w:szCs w:val="21"/>
        </w:rPr>
        <w:t xml:space="preserve">Gobierno institucional/canónico-societario:</w:t>
      </w:r>
      <w:r>
        <w:rPr>
          <w:b w:val="false"/>
          <w:bCs w:val="false"/>
          <w:color w:val="262626"/>
          <w:sz w:val="21"/>
          <w:szCs w:val="21"/>
        </w:rPr>
        <w:t xml:space="preserve"> la Entidad Propietaria (Consejo de Administración, Directorio de la Asociación Civil, o autoridad de la Congregación/Diócesis según corresponda) define la misión, el ideario, aprueba el presupuesto anual y designa al Representante Legal y a la Dirección General.</w:t>
      </w:r>
    </w:p>
    <w:p>
      <w:pPr>
        <w:pStyle w:val="ListParagraph"/>
        <w:numPr>
          <w:ilvl w:val="0"/>
          <w:numId w:val="1"/>
        </w:numPr>
        <w:spacing w:after="60"/>
      </w:pPr>
      <w:r>
        <w:rPr>
          <w:b/>
          <w:bCs/>
          <w:color w:val="262626"/>
          <w:sz w:val="21"/>
          <w:szCs w:val="21"/>
        </w:rPr>
        <w:t xml:space="preserve">Gobierno educativo-administrativo:</w:t>
      </w:r>
      <w:r>
        <w:rPr>
          <w:b w:val="false"/>
          <w:bCs w:val="false"/>
          <w:color w:val="262626"/>
          <w:sz w:val="21"/>
          <w:szCs w:val="21"/>
        </w:rPr>
        <w:t xml:space="preserve"> la Dirección General y su equipo ejecutan la gestión diaria dentro de las políticas fijadas por la Entidad Propietaria y dentro del marco normativo educativo jurisdiccional.</w:t>
      </w:r>
    </w:p>
    <w:p>
      <w:pPr>
        <w:pStyle w:val="Heading2"/>
        <w:spacing w:after="160" w:before="320"/>
      </w:pPr>
      <w:r>
        <w:rPr>
          <w:b/>
          <w:bCs/>
          <w:color w:val="1F3864"/>
        </w:rPr>
        <w:t xml:space="preserve">2.2 Organigrama funcional</w:t>
      </w:r>
    </w:p>
    <w:p>
      <w:pPr>
        <w:spacing w:after="160" w:line="300"/>
        <w:jc w:val="both"/>
      </w:pPr>
      <w:r>
        <w:rPr>
          <w:b w:val="false"/>
          <w:bCs w:val="false"/>
          <w:color w:val="262626"/>
          <w:sz w:val="21"/>
          <w:szCs w:val="21"/>
        </w:rPr>
        <w:t xml:space="preserve">A continuación se describe la línea jerárquica de referencia. El colegio debe adaptar los niveles intermedios (Dirección de Nivel Inicial, Primario, Secundario) a su propia estructura.</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Nivel</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Rol</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Depende de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Área a cargo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Entidad Propietaria (Consejo/Directorio/Autoridad religiosa)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Gobierno institucional</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Representante Legal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Entidad Propietaria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Responsabilidad jurídica ante la autoridad educativa</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Director/a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Representante Legal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Conducción pedagógica y administrativa integral</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Director/a de Nivel (Inicial/Primario/Secundario)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Director/a General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Gestión pedagógica del nivel</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Director/a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Tesorería, RRHH, Compras, Mantenimiento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Secretario/a Académico/a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Director/a General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Legajos, matrícula, actas, certificaciones</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Asesor/a Pastoral / Capellán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Director/a General y autoridad eclesiástica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Pastoral, catequesis, celebraciones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Tesorero/a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Cobranza, pagos, caja</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Encargado/a de RRHH</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Legajos de personal, liquidación de haberes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Encargado/a de Compras y Mantenimiento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Proveedores, infraestructura</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Bibliotecario/a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Director/a de Nivel / Secretaría Académica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Biblioteca y recursos pedagógicos</w:t>
            </w:r>
          </w:p>
        </w:tc>
      </w:tr>
    </w:tbl>
    <w:p>
      <w:pPr>
        <w:spacing w:after="200"/>
      </w:pPr>
    </w:p>
    <w:p>
      <w:pPr>
        <w:pStyle w:val="Heading2"/>
        <w:spacing w:after="160" w:before="320"/>
      </w:pPr>
      <w:r>
        <w:rPr>
          <w:b/>
          <w:bCs/>
          <w:color w:val="1F3864"/>
        </w:rPr>
        <w:t xml:space="preserve">2.3 Funciones y responsabilidades por puesto</w:t>
      </w:r>
    </w:p>
    <w:p>
      <w:pPr>
        <w:pStyle w:val="Heading3"/>
        <w:spacing w:after="120" w:before="240"/>
      </w:pPr>
      <w:r>
        <w:rPr>
          <w:b/>
          <w:bCs/>
          <w:color w:val="9C7A24"/>
        </w:rPr>
        <w:t xml:space="preserve">2.3.1 Representante Legal</w:t>
      </w:r>
    </w:p>
    <w:p>
      <w:pPr>
        <w:pStyle w:val="ListParagraph"/>
        <w:numPr>
          <w:ilvl w:val="0"/>
          <w:numId w:val="1"/>
        </w:numPr>
        <w:spacing w:after="60"/>
      </w:pPr>
      <w:r>
        <w:rPr>
          <w:b w:val="false"/>
          <w:bCs w:val="false"/>
          <w:color w:val="262626"/>
          <w:sz w:val="21"/>
          <w:szCs w:val="21"/>
        </w:rPr>
        <w:t xml:space="preserve">Actúa como responsable formal del establecimiento ante la Dirección de Educación de Gestión Privada de la jurisdicción y ante organismos de contralor (ARCA, IPS/ANSES, Ministerio de Trabajo).</w:t>
      </w:r>
    </w:p>
    <w:p>
      <w:pPr>
        <w:pStyle w:val="ListParagraph"/>
        <w:numPr>
          <w:ilvl w:val="0"/>
          <w:numId w:val="1"/>
        </w:numPr>
        <w:spacing w:after="60"/>
      </w:pPr>
      <w:r>
        <w:rPr>
          <w:b w:val="false"/>
          <w:bCs w:val="false"/>
          <w:color w:val="262626"/>
          <w:sz w:val="21"/>
          <w:szCs w:val="21"/>
        </w:rPr>
        <w:t xml:space="preserve">Suscribe la documentación oficial que así lo requiera (habilitaciones, planillas de personal, presentaciones ante la autoridad educativa).</w:t>
      </w:r>
    </w:p>
    <w:p>
      <w:pPr>
        <w:pStyle w:val="ListParagraph"/>
        <w:numPr>
          <w:ilvl w:val="0"/>
          <w:numId w:val="1"/>
        </w:numPr>
        <w:spacing w:after="60"/>
      </w:pPr>
      <w:r>
        <w:rPr>
          <w:b w:val="false"/>
          <w:bCs w:val="false"/>
          <w:color w:val="262626"/>
          <w:sz w:val="21"/>
          <w:szCs w:val="21"/>
        </w:rPr>
        <w:t xml:space="preserve">Es responsable solidario, junto con la Entidad Propietaria, por el cumplimiento de las obligaciones laborales e impositivas del establecimiento.</w:t>
      </w:r>
    </w:p>
    <w:p>
      <w:pPr>
        <w:pStyle w:val="ListParagraph"/>
        <w:numPr>
          <w:ilvl w:val="0"/>
          <w:numId w:val="1"/>
        </w:numPr>
        <w:spacing w:after="60"/>
      </w:pPr>
      <w:r>
        <w:rPr>
          <w:b w:val="false"/>
          <w:bCs w:val="false"/>
          <w:color w:val="262626"/>
          <w:sz w:val="21"/>
          <w:szCs w:val="21"/>
        </w:rPr>
        <w:t xml:space="preserve">Reporta periódicamente a la Entidad Propietaria sobre el estado general de la institución.</w:t>
      </w:r>
    </w:p>
    <w:p>
      <w:pPr>
        <w:pStyle w:val="Heading3"/>
        <w:spacing w:after="120" w:before="240"/>
      </w:pPr>
      <w:r>
        <w:rPr>
          <w:b/>
          <w:bCs/>
          <w:color w:val="9C7A24"/>
        </w:rPr>
        <w:t xml:space="preserve">2.3.2 Director/a General</w:t>
      </w:r>
    </w:p>
    <w:p>
      <w:pPr>
        <w:pStyle w:val="ListParagraph"/>
        <w:numPr>
          <w:ilvl w:val="0"/>
          <w:numId w:val="1"/>
        </w:numPr>
        <w:spacing w:after="60"/>
      </w:pPr>
      <w:r>
        <w:rPr>
          <w:b w:val="false"/>
          <w:bCs w:val="false"/>
          <w:color w:val="262626"/>
          <w:sz w:val="21"/>
          <w:szCs w:val="21"/>
        </w:rPr>
        <w:t xml:space="preserve">Conduce integralmente el proyecto educativo e institucional.</w:t>
      </w:r>
    </w:p>
    <w:p>
      <w:pPr>
        <w:pStyle w:val="ListParagraph"/>
        <w:numPr>
          <w:ilvl w:val="0"/>
          <w:numId w:val="1"/>
        </w:numPr>
        <w:spacing w:after="60"/>
      </w:pPr>
      <w:r>
        <w:rPr>
          <w:b w:val="false"/>
          <w:bCs w:val="false"/>
          <w:color w:val="262626"/>
          <w:sz w:val="21"/>
          <w:szCs w:val="21"/>
        </w:rPr>
        <w:t xml:space="preserve">Preside o participa del Equipo de Conducción (Directores de Nivel, Administrador, Secretario Académico).</w:t>
      </w:r>
    </w:p>
    <w:p>
      <w:pPr>
        <w:pStyle w:val="ListParagraph"/>
        <w:numPr>
          <w:ilvl w:val="0"/>
          <w:numId w:val="1"/>
        </w:numPr>
        <w:spacing w:after="60"/>
      </w:pPr>
      <w:r>
        <w:rPr>
          <w:b w:val="false"/>
          <w:bCs w:val="false"/>
          <w:color w:val="262626"/>
          <w:sz w:val="21"/>
          <w:szCs w:val="21"/>
        </w:rPr>
        <w:t xml:space="preserve">Aprueba en primera instancia las decisiones administrativas de mayor relevancia (admisiones excepcionales, becas, sanciones disciplinarias graves, contrataciones de personal jerárquico).</w:t>
      </w:r>
    </w:p>
    <w:p>
      <w:pPr>
        <w:pStyle w:val="ListParagraph"/>
        <w:numPr>
          <w:ilvl w:val="0"/>
          <w:numId w:val="1"/>
        </w:numPr>
        <w:spacing w:after="60"/>
      </w:pPr>
      <w:r>
        <w:rPr>
          <w:b w:val="false"/>
          <w:bCs w:val="false"/>
          <w:color w:val="262626"/>
          <w:sz w:val="21"/>
          <w:szCs w:val="21"/>
        </w:rPr>
        <w:t xml:space="preserve">Es la máxima autoridad de aplicación de este Manual en el día a día institucional.</w:t>
      </w:r>
    </w:p>
    <w:p>
      <w:pPr>
        <w:pStyle w:val="Heading3"/>
        <w:spacing w:after="120" w:before="240"/>
      </w:pPr>
      <w:r>
        <w:rPr>
          <w:b/>
          <w:bCs/>
          <w:color w:val="9C7A24"/>
        </w:rPr>
        <w:t xml:space="preserve">2.3.3 Administrador/a General</w:t>
      </w:r>
    </w:p>
    <w:p>
      <w:pPr>
        <w:pStyle w:val="ListParagraph"/>
        <w:numPr>
          <w:ilvl w:val="0"/>
          <w:numId w:val="1"/>
        </w:numPr>
        <w:spacing w:after="60"/>
      </w:pPr>
      <w:r>
        <w:rPr>
          <w:b w:val="false"/>
          <w:bCs w:val="false"/>
          <w:color w:val="262626"/>
          <w:sz w:val="21"/>
          <w:szCs w:val="21"/>
        </w:rPr>
        <w:t xml:space="preserve">Responsable de Tesorería, Recursos Humanos administrativo, Compras y Mantenimiento.</w:t>
      </w:r>
    </w:p>
    <w:p>
      <w:pPr>
        <w:pStyle w:val="ListParagraph"/>
        <w:numPr>
          <w:ilvl w:val="0"/>
          <w:numId w:val="1"/>
        </w:numPr>
        <w:spacing w:after="60"/>
      </w:pPr>
      <w:r>
        <w:rPr>
          <w:b w:val="false"/>
          <w:bCs w:val="false"/>
          <w:color w:val="262626"/>
          <w:sz w:val="21"/>
          <w:szCs w:val="21"/>
        </w:rPr>
        <w:t xml:space="preserve">Elabora el presupuesto anual y controla su ejecución.</w:t>
      </w:r>
    </w:p>
    <w:p>
      <w:pPr>
        <w:pStyle w:val="ListParagraph"/>
        <w:numPr>
          <w:ilvl w:val="0"/>
          <w:numId w:val="1"/>
        </w:numPr>
        <w:spacing w:after="60"/>
      </w:pPr>
      <w:r>
        <w:rPr>
          <w:b w:val="false"/>
          <w:bCs w:val="false"/>
          <w:color w:val="262626"/>
          <w:sz w:val="21"/>
          <w:szCs w:val="21"/>
        </w:rPr>
        <w:t xml:space="preserve">Reporta mensualmente a Dirección General y a la Entidad Propietaria el estado económico-financiero.</w:t>
      </w:r>
    </w:p>
    <w:p>
      <w:pPr>
        <w:pStyle w:val="Heading3"/>
        <w:spacing w:after="120" w:before="240"/>
      </w:pPr>
      <w:r>
        <w:rPr>
          <w:b/>
          <w:bCs/>
          <w:color w:val="9C7A24"/>
        </w:rPr>
        <w:t xml:space="preserve">2.3.4 Secretario/a Académico/a</w:t>
      </w:r>
    </w:p>
    <w:p>
      <w:pPr>
        <w:pStyle w:val="ListParagraph"/>
        <w:numPr>
          <w:ilvl w:val="0"/>
          <w:numId w:val="1"/>
        </w:numPr>
        <w:spacing w:after="60"/>
      </w:pPr>
      <w:r>
        <w:rPr>
          <w:b w:val="false"/>
          <w:bCs w:val="false"/>
          <w:color w:val="262626"/>
          <w:sz w:val="21"/>
          <w:szCs w:val="21"/>
        </w:rPr>
        <w:t xml:space="preserve">Custodia el Libro Matriz, los legajos de alumnos, el libro de temas y toda la documentación que deba presentarse ante la autoridad educativa.</w:t>
      </w:r>
    </w:p>
    <w:p>
      <w:pPr>
        <w:pStyle w:val="ListParagraph"/>
        <w:numPr>
          <w:ilvl w:val="0"/>
          <w:numId w:val="1"/>
        </w:numPr>
        <w:spacing w:after="60"/>
      </w:pPr>
      <w:r>
        <w:rPr>
          <w:b w:val="false"/>
          <w:bCs w:val="false"/>
          <w:color w:val="262626"/>
          <w:sz w:val="21"/>
          <w:szCs w:val="21"/>
        </w:rPr>
        <w:t xml:space="preserve">Certifica la autenticidad de copias y expide certificados analíticos, constancias y pases.</w:t>
      </w:r>
    </w:p>
    <w:p>
      <w:pPr>
        <w:pStyle w:val="ListParagraph"/>
        <w:numPr>
          <w:ilvl w:val="0"/>
          <w:numId w:val="1"/>
        </w:numPr>
        <w:spacing w:after="60"/>
      </w:pPr>
      <w:r>
        <w:rPr>
          <w:b w:val="false"/>
          <w:bCs w:val="false"/>
          <w:color w:val="262626"/>
          <w:sz w:val="21"/>
          <w:szCs w:val="21"/>
        </w:rPr>
        <w:t xml:space="preserve">Es responsable de que la información cargada en los sistemas informáticos oficiales (según jurisdicción) esté actualizada.</w:t>
      </w:r>
    </w:p>
    <w:p>
      <w:pPr>
        <w:pStyle w:val="Heading3"/>
        <w:spacing w:after="120" w:before="240"/>
      </w:pPr>
      <w:r>
        <w:rPr>
          <w:b/>
          <w:bCs/>
          <w:color w:val="9C7A24"/>
        </w:rPr>
        <w:t xml:space="preserve">2.3.5 Asesor/a Pastoral / Capellán</w:t>
      </w:r>
    </w:p>
    <w:p>
      <w:pPr>
        <w:pStyle w:val="ListParagraph"/>
        <w:numPr>
          <w:ilvl w:val="0"/>
          <w:numId w:val="1"/>
        </w:numPr>
        <w:spacing w:after="60"/>
      </w:pPr>
      <w:r>
        <w:rPr>
          <w:b w:val="false"/>
          <w:bCs w:val="false"/>
          <w:color w:val="262626"/>
          <w:sz w:val="21"/>
          <w:szCs w:val="21"/>
        </w:rPr>
        <w:t xml:space="preserve">Coordina la propuesta de catequesis, sacramentos y celebraciones litúrgicas del calendario escolar.</w:t>
      </w:r>
    </w:p>
    <w:p>
      <w:pPr>
        <w:pStyle w:val="ListParagraph"/>
        <w:numPr>
          <w:ilvl w:val="0"/>
          <w:numId w:val="1"/>
        </w:numPr>
        <w:spacing w:after="60"/>
      </w:pPr>
      <w:r>
        <w:rPr>
          <w:b w:val="false"/>
          <w:bCs w:val="false"/>
          <w:color w:val="262626"/>
          <w:sz w:val="21"/>
          <w:szCs w:val="21"/>
        </w:rPr>
        <w:t xml:space="preserve">Articula administrativamente con la parroquia, congregación o diócesis de referencia.</w:t>
      </w:r>
    </w:p>
    <w:p>
      <w:pPr>
        <w:pStyle w:val="ListParagraph"/>
        <w:numPr>
          <w:ilvl w:val="0"/>
          <w:numId w:val="1"/>
        </w:numPr>
        <w:spacing w:after="60"/>
      </w:pPr>
      <w:r>
        <w:rPr>
          <w:b w:val="false"/>
          <w:bCs w:val="false"/>
          <w:color w:val="262626"/>
          <w:sz w:val="21"/>
          <w:szCs w:val="21"/>
        </w:rPr>
        <w:t xml:space="preserve">Participa, junto con Dirección General, en el resguardo del ideario institucional en decisiones sensibles (admisión, régimen de convivencia, comunicación institucional).</w:t>
      </w:r>
    </w:p>
    <w:p>
      <w:pPr>
        <w:pStyle w:val="Heading3"/>
        <w:spacing w:after="120" w:before="240"/>
      </w:pPr>
      <w:r>
        <w:rPr>
          <w:b/>
          <w:bCs/>
          <w:color w:val="9C7A24"/>
        </w:rPr>
        <w:t xml:space="preserve">2.3.6 Tesorero/a, Encargado/a de RRHH, Encargado/a de Compras, Bibliotecario/a</w:t>
      </w:r>
    </w:p>
    <w:p>
      <w:pPr>
        <w:spacing w:after="160" w:line="300"/>
        <w:jc w:val="both"/>
      </w:pPr>
      <w:r>
        <w:rPr>
          <w:b w:val="false"/>
          <w:bCs w:val="false"/>
          <w:color w:val="262626"/>
          <w:sz w:val="21"/>
          <w:szCs w:val="21"/>
        </w:rPr>
        <w:t xml:space="preserve">Sus funciones específicas se desarrollan en los capítulos 5, 6, 7 y 10 respectivamente.</w:t>
      </w:r>
    </w:p>
    <w:p>
      <w:pPr>
        <w:pStyle w:val="Heading1"/>
        <w:pageBreakBefore/>
        <w:pBdr>
          <w:bottom w:val="single" w:color="1F3864" w:sz="12" w:space="8"/>
        </w:pBdr>
        <w:spacing w:after="240" w:before="0"/>
      </w:pPr>
      <w:r>
        <w:rPr>
          <w:b/>
          <w:bCs/>
          <w:color w:val="1F3864"/>
        </w:rPr>
        <w:t xml:space="preserve">CAPÍTULO 3 — PROCEDIMIENTO DE ADMISIÓN Y MATRÍCULA</w:t>
      </w:r>
    </w:p>
    <w:p>
      <w:pPr>
        <w:pStyle w:val="Heading2"/>
        <w:spacing w:after="160" w:before="320"/>
      </w:pPr>
      <w:r>
        <w:rPr>
          <w:b/>
          <w:bCs/>
          <w:color w:val="1F3864"/>
        </w:rPr>
        <w:t xml:space="preserve">3.1 Objetivo</w:t>
      </w:r>
    </w:p>
    <w:p>
      <w:pPr>
        <w:spacing w:after="160" w:line="300"/>
        <w:jc w:val="both"/>
      </w:pPr>
      <w:r>
        <w:rPr>
          <w:b w:val="false"/>
          <w:bCs w:val="false"/>
          <w:color w:val="262626"/>
          <w:sz w:val="21"/>
          <w:szCs w:val="21"/>
        </w:rPr>
        <w:t xml:space="preserve">Garantizar un proceso de admisión ordenado, documentado, respetuoso del marco normativo vigente (que prohíbe la discriminación arbitraria) y coherente con el ideario institucional, evitando la discrecionalidad no registrada.</w:t>
      </w:r>
    </w:p>
    <w:p>
      <w:pPr>
        <w:pStyle w:val="Heading2"/>
        <w:spacing w:after="160" w:before="320"/>
      </w:pPr>
      <w:r>
        <w:rPr>
          <w:b/>
          <w:bCs/>
          <w:color w:val="1F3864"/>
        </w:rPr>
        <w:t xml:space="preserve">3.2 Responsables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4675"/>
        <w:gridCol w:w="4675"/>
      </w:tblGrid>
      <w:tr>
        <w:trPr>
          <w:tblHeader/>
        </w:trPr>
        <w:tc>
          <w:tcPr>
            <w:tcW w:type="dxa" w:w="4675"/>
            <w:shd w:fill="1F3864" w:color="auto" w:val="clear"/>
            <w:tcMar>
              <w:top w:type="dxa" w:w="80"/>
              <w:left w:type="dxa" w:w="100"/>
              <w:bottom w:type="dxa" w:w="80"/>
              <w:right w:type="dxa" w:w="100"/>
            </w:tcMar>
            <w:vAlign w:val="center"/>
          </w:tcPr>
          <w:p>
            <w:r>
              <w:rPr>
                <w:b/>
                <w:bCs/>
                <w:color w:val="FFFFFF"/>
                <w:sz w:val="18"/>
                <w:szCs w:val="18"/>
              </w:rPr>
              <w:t xml:space="preserve">Rol</w:t>
            </w:r>
          </w:p>
        </w:tc>
        <w:tc>
          <w:tcPr>
            <w:tcW w:type="dxa" w:w="4675"/>
            <w:shd w:fill="1F3864" w:color="auto" w:val="clear"/>
            <w:tcMar>
              <w:top w:type="dxa" w:w="80"/>
              <w:left w:type="dxa" w:w="100"/>
              <w:bottom w:type="dxa" w:w="80"/>
              <w:right w:type="dxa" w:w="100"/>
            </w:tcMar>
            <w:vAlign w:val="center"/>
          </w:tcPr>
          <w:p>
            <w:r>
              <w:rPr>
                <w:b/>
                <w:bCs/>
                <w:color w:val="FFFFFF"/>
                <w:sz w:val="18"/>
                <w:szCs w:val="18"/>
              </w:rPr>
              <w:t xml:space="preserve">Responsabilidad en el proceso</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Recepción de solicitudes, control documental, carga en Libro Matriz</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Dirección de Nivel</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Entrevista pedagógica, evaluación de vacantes por sección</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Gabinete/Equipo de Orientación Escolar (si lo hubiera)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Evaluación de alumnos con necesidades educativas especiales</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Administración/Tesorería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Informe de situación de deuda de hermanos ya matriculados, firma de contrato de servicios educativos</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Dirección General</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Aprobación final de casos excepcionales</w:t>
            </w:r>
          </w:p>
        </w:tc>
      </w:tr>
    </w:tbl>
    <w:p>
      <w:pPr>
        <w:spacing w:after="200"/>
      </w:pPr>
    </w:p>
    <w:p>
      <w:pPr>
        <w:pStyle w:val="Heading2"/>
        <w:spacing w:after="160" w:before="320"/>
      </w:pPr>
      <w:r>
        <w:rPr>
          <w:b/>
          <w:bCs/>
          <w:color w:val="1F3864"/>
        </w:rPr>
        <w:t xml:space="preserve">3.3 Documentación requerida para la inscripción</w:t>
      </w:r>
    </w:p>
    <w:p>
      <w:pPr>
        <w:pStyle w:val="ListParagraph"/>
        <w:numPr>
          <w:ilvl w:val="0"/>
          <w:numId w:val="1"/>
        </w:numPr>
        <w:spacing w:after="60"/>
      </w:pPr>
      <w:r>
        <w:rPr>
          <w:b w:val="false"/>
          <w:bCs w:val="false"/>
          <w:color w:val="262626"/>
          <w:sz w:val="21"/>
          <w:szCs w:val="21"/>
        </w:rPr>
        <w:t xml:space="preserve">Fotocopia de DNI del alumno/a y de ambos padres, madres o tutores legales.</w:t>
      </w:r>
    </w:p>
    <w:p>
      <w:pPr>
        <w:pStyle w:val="ListParagraph"/>
        <w:numPr>
          <w:ilvl w:val="0"/>
          <w:numId w:val="1"/>
        </w:numPr>
        <w:spacing w:after="60"/>
      </w:pPr>
      <w:r>
        <w:rPr>
          <w:b w:val="false"/>
          <w:bCs w:val="false"/>
          <w:color w:val="262626"/>
          <w:sz w:val="21"/>
          <w:szCs w:val="21"/>
        </w:rPr>
        <w:t xml:space="preserve">Partida de nacimiento (original o copia certificada).</w:t>
      </w:r>
    </w:p>
    <w:p>
      <w:pPr>
        <w:pStyle w:val="ListParagraph"/>
        <w:numPr>
          <w:ilvl w:val="0"/>
          <w:numId w:val="1"/>
        </w:numPr>
        <w:spacing w:after="60"/>
      </w:pPr>
      <w:r>
        <w:rPr>
          <w:b w:val="false"/>
          <w:bCs w:val="false"/>
          <w:color w:val="262626"/>
          <w:sz w:val="21"/>
          <w:szCs w:val="21"/>
        </w:rPr>
        <w:t xml:space="preserve">Certificado de vacunación actualizado (Calendario Nacional de Vacunación).</w:t>
      </w:r>
    </w:p>
    <w:p>
      <w:pPr>
        <w:pStyle w:val="ListParagraph"/>
        <w:numPr>
          <w:ilvl w:val="0"/>
          <w:numId w:val="1"/>
        </w:numPr>
        <w:spacing w:after="60"/>
      </w:pPr>
      <w:r>
        <w:rPr>
          <w:b w:val="false"/>
          <w:bCs w:val="false"/>
          <w:color w:val="262626"/>
          <w:sz w:val="21"/>
          <w:szCs w:val="21"/>
        </w:rPr>
        <w:t xml:space="preserve">Certificado analítico o boletín de calificaciones del establecimiento de origen (para pases).</w:t>
      </w:r>
    </w:p>
    <w:p>
      <w:pPr>
        <w:pStyle w:val="ListParagraph"/>
        <w:numPr>
          <w:ilvl w:val="0"/>
          <w:numId w:val="1"/>
        </w:numPr>
        <w:spacing w:after="60"/>
      </w:pPr>
      <w:r>
        <w:rPr>
          <w:b w:val="false"/>
          <w:bCs w:val="false"/>
          <w:color w:val="262626"/>
          <w:sz w:val="21"/>
          <w:szCs w:val="21"/>
        </w:rPr>
        <w:t xml:space="preserve">Pase o constancia de baja del establecimiento anterior, cuando corresponda.</w:t>
      </w:r>
    </w:p>
    <w:p>
      <w:pPr>
        <w:pStyle w:val="ListParagraph"/>
        <w:numPr>
          <w:ilvl w:val="0"/>
          <w:numId w:val="1"/>
        </w:numPr>
        <w:spacing w:after="60"/>
      </w:pPr>
      <w:r>
        <w:rPr>
          <w:b w:val="false"/>
          <w:bCs w:val="false"/>
          <w:color w:val="262626"/>
          <w:sz w:val="21"/>
          <w:szCs w:val="21"/>
        </w:rPr>
        <w:t xml:space="preserve">Ficha de salud / declaración jurada de aptitud física, con datos de cobertura médica y contactos de emergencia.</w:t>
      </w:r>
    </w:p>
    <w:p>
      <w:pPr>
        <w:pStyle w:val="ListParagraph"/>
        <w:numPr>
          <w:ilvl w:val="0"/>
          <w:numId w:val="1"/>
        </w:numPr>
        <w:spacing w:after="60"/>
      </w:pPr>
      <w:r>
        <w:rPr>
          <w:b w:val="false"/>
          <w:bCs w:val="false"/>
          <w:color w:val="262626"/>
          <w:sz w:val="21"/>
          <w:szCs w:val="21"/>
        </w:rPr>
        <w:t xml:space="preserve">Declaración jurada de convivencia familiar y datos de las personas autorizadas a retirar al alumno/a.</w:t>
      </w:r>
    </w:p>
    <w:p>
      <w:pPr>
        <w:pStyle w:val="ListParagraph"/>
        <w:numPr>
          <w:ilvl w:val="0"/>
          <w:numId w:val="1"/>
        </w:numPr>
        <w:spacing w:after="60"/>
      </w:pPr>
      <w:r>
        <w:rPr>
          <w:b w:val="false"/>
          <w:bCs w:val="false"/>
          <w:color w:val="262626"/>
          <w:sz w:val="21"/>
          <w:szCs w:val="21"/>
        </w:rPr>
        <w:t xml:space="preserve">Documentación judicial vigente, si existiera (régimen de comunicación, cuidado personal, restricciones de acercamiento) que deba conocer el colegio para el resguardo del alumno/a.</w:t>
      </w:r>
    </w:p>
    <w:p>
      <w:pPr>
        <w:pStyle w:val="Heading2"/>
        <w:spacing w:after="160" w:before="320"/>
      </w:pPr>
      <w:r>
        <w:rPr>
          <w:b/>
          <w:bCs/>
          <w:color w:val="1F3864"/>
        </w:rPr>
        <w:t xml:space="preserve">3.4 Circuito administrativo paso a paso</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1870"/>
        <w:gridCol w:w="1870"/>
        <w:gridCol w:w="1870"/>
        <w:gridCol w:w="1870"/>
        <w:gridCol w:w="1870"/>
      </w:tblGrid>
      <w:tr>
        <w:trPr>
          <w:tblHeader/>
        </w:trPr>
        <w:tc>
          <w:tcPr>
            <w:tcW w:type="dxa" w:w="1870"/>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Descripción</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Plazo de referencia</w:t>
            </w:r>
          </w:p>
        </w:tc>
      </w:tr>
      <w:tr>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Consulta y preinscripción</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Secretaría/Admisiones</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Se entrega información institucional (ideario, propuesta pedagógica, aranceles) y se registra la preinscripción con datos básicos de contacto</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Según calendario anual de admisión</w:t>
            </w:r>
          </w:p>
        </w:tc>
      </w:tr>
      <w:tr>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Entrevista familiar e institucional</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Dirección de Nivel / Dirección General</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Entrevista con la familia para presentar el proyecto institucional y conocer las expectativas y necesidades del postulante</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Dentro de los 15 días de la preinscripción</w:t>
            </w:r>
          </w:p>
        </w:tc>
      </w:tr>
      <w:tr>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Evaluación pedagógica (si aplica)</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Dirección de Nivel / docentes del área</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Instancia de conocimiento del alumno/a acorde a la edad y nivel, nunca de carácter eliminatorio arbitrario</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Según cronograma</w:t>
            </w:r>
          </w:p>
        </w:tc>
      </w:tr>
      <w:tr>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Verificación de vacantes</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Confirmación de disponibilidad de vacante por sección y turno</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Inmediata</w:t>
            </w:r>
          </w:p>
        </w:tc>
      </w:tr>
      <w:tr>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Reserva de vacante</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Firma de reserva y, si corresponde, pago de seña, con recibo oficial</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Dentro de los 5 días hábiles posteriores a la comunicación de vacante</w:t>
            </w:r>
          </w:p>
        </w:tc>
      </w:tr>
      <w:tr>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6</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Entrega de documentación completa</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Familia / Secretaría Académica</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Control de la totalidad de la documentación exigida en el punto 3.3</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Antes del inicio del ciclo lectivo</w:t>
            </w:r>
          </w:p>
        </w:tc>
      </w:tr>
      <w:tr>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7</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Matriculación definitiva</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Asiento en el Libro Matriz, apertura de legajo del alumno, firma del contrato de servicios educativos y del compromiso con el ideario institucional</w:t>
            </w:r>
          </w:p>
        </w:tc>
        <w:tc>
          <w:tcPr>
            <w:tcW w:type="dxa" w:w="1870"/>
            <w:tcMar>
              <w:top w:type="dxa" w:w="70"/>
              <w:left w:type="dxa" w:w="100"/>
              <w:bottom w:type="dxa" w:w="70"/>
              <w:right w:type="dxa" w:w="100"/>
            </w:tcMar>
            <w:vAlign w:val="center"/>
          </w:tcPr>
          <w:p>
            <w:pPr>
              <w:spacing w:after="0"/>
            </w:pPr>
            <w:r>
              <w:rPr>
                <w:b w:val="false"/>
                <w:bCs w:val="false"/>
                <w:color w:val="262626"/>
                <w:sz w:val="21"/>
                <w:szCs w:val="21"/>
              </w:rPr>
              <w:t xml:space="preserve">Antes del inicio de clases</w:t>
            </w:r>
          </w:p>
        </w:tc>
      </w:tr>
      <w:tr>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8</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Comunicación a la autoridad educativa</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 Académica / Representante Legal</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Actualización de la matrícula en los sistemas informáticos de la jurisdicción, cuando la normativa lo exija</w:t>
            </w:r>
          </w:p>
        </w:tc>
        <w:tc>
          <w:tcPr>
            <w:tcW w:type="dxa" w:w="1870"/>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Según calendario oficial</w:t>
            </w:r>
          </w:p>
        </w:tc>
      </w:tr>
    </w:tbl>
    <w:p>
      <w:pPr>
        <w:spacing w:after="200"/>
      </w:pPr>
    </w:p>
    <w:p>
      <w:pPr>
        <w:pStyle w:val="Heading2"/>
        <w:spacing w:after="160" w:before="320"/>
      </w:pPr>
      <w:r>
        <w:rPr>
          <w:b/>
          <w:bCs/>
          <w:color w:val="1F3864"/>
        </w:rPr>
        <w:t xml:space="preserve">3.5 Vacantes y listas de espera</w:t>
      </w:r>
    </w:p>
    <w:p>
      <w:pPr>
        <w:spacing w:after="160" w:line="300"/>
        <w:jc w:val="both"/>
      </w:pPr>
      <w:r>
        <w:rPr>
          <w:b w:val="false"/>
          <w:bCs w:val="false"/>
          <w:color w:val="262626"/>
          <w:sz w:val="21"/>
          <w:szCs w:val="21"/>
        </w:rPr>
        <w:t xml:space="preserve">Cuando no exista vacante disponible, la solicitud se incorpora a una lista de espera ordenada por fecha de preinscripción, criterio que debe respetarse salvo excepciones fundadas y documentadas por Dirección General (por ejemplo, hermanos de alumnos ya matriculados, hijos de personal del colegio, situaciones sociales excepcionales evaluadas por el Equipo de Orientación).</w:t>
      </w:r>
    </w:p>
    <w:p>
      <w:pPr>
        <w:pStyle w:val="Heading2"/>
        <w:spacing w:after="160" w:before="320"/>
      </w:pPr>
      <w:r>
        <w:rPr>
          <w:b/>
          <w:bCs/>
          <w:color w:val="1F3864"/>
        </w:rPr>
        <w:t xml:space="preserve">3.6 Alumnos con necesidades educativas especiales o de apoyo</w:t>
      </w:r>
    </w:p>
    <w:p>
      <w:pPr>
        <w:spacing w:after="160" w:line="300"/>
        <w:jc w:val="both"/>
      </w:pPr>
      <w:r>
        <w:rPr>
          <w:b w:val="false"/>
          <w:bCs w:val="false"/>
          <w:color w:val="262626"/>
          <w:sz w:val="21"/>
          <w:szCs w:val="21"/>
        </w:rPr>
        <w:t xml:space="preserve">Ante una solicitud de admisión de un alumno/a con discapacidad o necesidades educativas especiales, el colegio debe evaluar razonablemente los apoyos necesarios junto con el Equipo de Orientación Escolar y, si corresponde, con el equipo de Educación Especial de la jurisdicción, documentando el análisis realizado. La negativa de vacante no puede fundarse únicamente en la existencia de la discapacidad.</w:t>
      </w:r>
    </w:p>
    <w:p>
      <w:pPr>
        <w:pStyle w:val="Heading2"/>
        <w:spacing w:after="160" w:before="320"/>
      </w:pPr>
      <w:r>
        <w:rPr>
          <w:b/>
          <w:bCs/>
          <w:color w:val="1F3864"/>
        </w:rPr>
        <w:t xml:space="preserve">3.7 Régimen de reincorporaciones y bajas</w:t>
      </w:r>
    </w:p>
    <w:p>
      <w:pPr>
        <w:spacing w:after="160" w:line="300"/>
        <w:jc w:val="both"/>
      </w:pPr>
      <w:r>
        <w:rPr>
          <w:b w:val="false"/>
          <w:bCs w:val="false"/>
          <w:color w:val="262626"/>
          <w:sz w:val="21"/>
          <w:szCs w:val="21"/>
        </w:rPr>
        <w:t xml:space="preserve">Toda baja de matrícula (por egreso, pase a otro establecimiento o abandono) debe registrarse formalmente en el legajo y en el Libro Matriz, indicando fecha, motivo y firma del responsable. Las reincorporaciones siguen el mismo circuito que una admisión nueva.</w:t>
      </w:r>
    </w:p>
    <w:p>
      <w:pPr>
        <w:pStyle w:val="Heading1"/>
        <w:pageBreakBefore/>
        <w:pBdr>
          <w:bottom w:val="single" w:color="1F3864" w:sz="12" w:space="8"/>
        </w:pBdr>
        <w:spacing w:after="240" w:before="0"/>
      </w:pPr>
      <w:r>
        <w:rPr>
          <w:b/>
          <w:bCs/>
          <w:color w:val="1F3864"/>
        </w:rPr>
        <w:t xml:space="preserve">CAPÍTULO 4 — SECRETARÍA ACADÉMICA</w:t>
      </w:r>
    </w:p>
    <w:p>
      <w:pPr>
        <w:pStyle w:val="Heading2"/>
        <w:spacing w:after="160" w:before="320"/>
      </w:pPr>
      <w:r>
        <w:rPr>
          <w:b/>
          <w:bCs/>
          <w:color w:val="1F3864"/>
        </w:rPr>
        <w:t xml:space="preserve">4.1 Objetivo</w:t>
      </w:r>
    </w:p>
    <w:p>
      <w:pPr>
        <w:spacing w:after="160" w:line="300"/>
        <w:jc w:val="both"/>
      </w:pPr>
      <w:r>
        <w:rPr>
          <w:b w:val="false"/>
          <w:bCs w:val="false"/>
          <w:color w:val="262626"/>
          <w:sz w:val="21"/>
          <w:szCs w:val="21"/>
        </w:rPr>
        <w:t xml:space="preserve">Asegurar la correcta constitución, actualización y resguardo de toda la documentación académica y administrativa de los alumnos, en cumplimiento de la normativa de la autoridad educativa jurisdiccional.</w:t>
      </w:r>
    </w:p>
    <w:p>
      <w:pPr>
        <w:pStyle w:val="Heading2"/>
        <w:spacing w:after="160" w:before="320"/>
      </w:pPr>
      <w:r>
        <w:rPr>
          <w:b/>
          <w:bCs/>
          <w:color w:val="1F3864"/>
        </w:rPr>
        <w:t xml:space="preserve">4.2 Legajo del alumno</w:t>
      </w:r>
    </w:p>
    <w:p>
      <w:pPr>
        <w:spacing w:after="160" w:line="300"/>
        <w:jc w:val="both"/>
      </w:pPr>
      <w:r>
        <w:rPr>
          <w:b w:val="false"/>
          <w:bCs w:val="false"/>
          <w:color w:val="262626"/>
          <w:sz w:val="21"/>
          <w:szCs w:val="21"/>
        </w:rPr>
        <w:t xml:space="preserve">Cada alumno/a debe contar con un legajo único (físico y/o digital, según la política de digitalización del colegio) que reúna:</w:t>
      </w:r>
    </w:p>
    <w:p>
      <w:pPr>
        <w:pStyle w:val="ListParagraph"/>
        <w:numPr>
          <w:ilvl w:val="0"/>
          <w:numId w:val="1"/>
        </w:numPr>
        <w:spacing w:after="60"/>
      </w:pPr>
      <w:r>
        <w:rPr>
          <w:b w:val="false"/>
          <w:bCs w:val="false"/>
          <w:color w:val="262626"/>
          <w:sz w:val="21"/>
          <w:szCs w:val="21"/>
        </w:rPr>
        <w:t xml:space="preserve">Documentación de admisión (Capítulo 3).</w:t>
      </w:r>
    </w:p>
    <w:p>
      <w:pPr>
        <w:pStyle w:val="ListParagraph"/>
        <w:numPr>
          <w:ilvl w:val="0"/>
          <w:numId w:val="1"/>
        </w:numPr>
        <w:spacing w:after="60"/>
      </w:pPr>
      <w:r>
        <w:rPr>
          <w:b w:val="false"/>
          <w:bCs w:val="false"/>
          <w:color w:val="262626"/>
          <w:sz w:val="21"/>
          <w:szCs w:val="21"/>
        </w:rPr>
        <w:t xml:space="preserve">Boletines y actas de calificación de cada período lectivo.</w:t>
      </w:r>
    </w:p>
    <w:p>
      <w:pPr>
        <w:pStyle w:val="ListParagraph"/>
        <w:numPr>
          <w:ilvl w:val="0"/>
          <w:numId w:val="1"/>
        </w:numPr>
        <w:spacing w:after="60"/>
      </w:pPr>
      <w:r>
        <w:rPr>
          <w:b w:val="false"/>
          <w:bCs w:val="false"/>
          <w:color w:val="262626"/>
          <w:sz w:val="21"/>
          <w:szCs w:val="21"/>
        </w:rPr>
        <w:t xml:space="preserve">Constancias de pases, certificados analíticos recibidos y emitidos.</w:t>
      </w:r>
    </w:p>
    <w:p>
      <w:pPr>
        <w:pStyle w:val="ListParagraph"/>
        <w:numPr>
          <w:ilvl w:val="0"/>
          <w:numId w:val="1"/>
        </w:numPr>
        <w:spacing w:after="60"/>
      </w:pPr>
      <w:r>
        <w:rPr>
          <w:b w:val="false"/>
          <w:bCs w:val="false"/>
          <w:color w:val="262626"/>
          <w:sz w:val="21"/>
          <w:szCs w:val="21"/>
        </w:rPr>
        <w:t xml:space="preserve">Comunicaciones formales con la familia (citaciones, notificaciones de sanciones, acuerdos).</w:t>
      </w:r>
    </w:p>
    <w:p>
      <w:pPr>
        <w:pStyle w:val="ListParagraph"/>
        <w:numPr>
          <w:ilvl w:val="0"/>
          <w:numId w:val="1"/>
        </w:numPr>
        <w:spacing w:after="60"/>
      </w:pPr>
      <w:r>
        <w:rPr>
          <w:b w:val="false"/>
          <w:bCs w:val="false"/>
          <w:color w:val="262626"/>
          <w:sz w:val="21"/>
          <w:szCs w:val="21"/>
        </w:rPr>
        <w:t xml:space="preserve">Informes del Equipo de Orientación Escolar, cuando existan, resguardados con confidencialidad reforzada.</w:t>
      </w:r>
    </w:p>
    <w:p>
      <w:pPr>
        <w:pStyle w:val="ListParagraph"/>
        <w:numPr>
          <w:ilvl w:val="0"/>
          <w:numId w:val="1"/>
        </w:numPr>
        <w:spacing w:after="60"/>
      </w:pPr>
      <w:r>
        <w:rPr>
          <w:b w:val="false"/>
          <w:bCs w:val="false"/>
          <w:color w:val="262626"/>
          <w:sz w:val="21"/>
          <w:szCs w:val="21"/>
        </w:rPr>
        <w:t xml:space="preserve">Autorizaciones especiales (salidas educativas, uso de imagen, retiro por terceros).</w:t>
      </w:r>
    </w:p>
    <w:p>
      <w:pPr>
        <w:spacing w:after="160" w:line="300"/>
        <w:jc w:val="both"/>
      </w:pPr>
      <w:r>
        <w:rPr>
          <w:b w:val="false"/>
          <w:bCs w:val="false"/>
          <w:color w:val="262626"/>
          <w:sz w:val="21"/>
          <w:szCs w:val="21"/>
        </w:rPr>
        <w:t xml:space="preserve">El legajo se actualiza al cierre de cada período de calificación y ante cualquier novedad relevante. El acceso al legajo está restringido a Secretaría Académica, Dirección y, en lo que corresponda a su función, al Equipo de Orientación Escolar.</w:t>
      </w:r>
    </w:p>
    <w:p>
      <w:pPr>
        <w:pStyle w:val="Heading2"/>
        <w:spacing w:after="160" w:before="320"/>
      </w:pPr>
      <w:r>
        <w:rPr>
          <w:b/>
          <w:bCs/>
          <w:color w:val="1F3864"/>
        </w:rPr>
        <w:t xml:space="preserve">4.3 Libro Matriz / Registro de Matrícula</w:t>
      </w:r>
    </w:p>
    <w:p>
      <w:pPr>
        <w:spacing w:after="160" w:line="300"/>
        <w:jc w:val="both"/>
      </w:pPr>
      <w:r>
        <w:rPr>
          <w:b w:val="false"/>
          <w:bCs w:val="false"/>
          <w:color w:val="262626"/>
          <w:sz w:val="21"/>
          <w:szCs w:val="21"/>
        </w:rPr>
        <w:t xml:space="preserve">Es el registro oficial, foliado y rubricado (según exigencia jurisdiccional) donde se asienta cronológicamente el alta de cada alumno/a con sus datos identificatorios, fecha de ingreso, sección y, oportunamente, fecha y motivo de egreso. No se admiten enmiendas sin la correspondiente nota marginal salvada y firmada por el/la Secretario/a Académico/a.</w:t>
      </w:r>
    </w:p>
    <w:p>
      <w:pPr>
        <w:pStyle w:val="Heading2"/>
        <w:spacing w:after="160" w:before="320"/>
      </w:pPr>
      <w:r>
        <w:rPr>
          <w:b/>
          <w:bCs/>
          <w:color w:val="1F3864"/>
        </w:rPr>
        <w:t xml:space="preserve">4.4 Libro de Temas y registros de asistencia</w:t>
      </w:r>
    </w:p>
    <w:p>
      <w:pPr>
        <w:pStyle w:val="ListParagraph"/>
        <w:numPr>
          <w:ilvl w:val="0"/>
          <w:numId w:val="1"/>
        </w:numPr>
        <w:spacing w:after="60"/>
      </w:pPr>
      <w:r>
        <w:rPr>
          <w:b/>
          <w:bCs/>
          <w:color w:val="262626"/>
          <w:sz w:val="21"/>
          <w:szCs w:val="21"/>
        </w:rPr>
        <w:t xml:space="preserve">Libro de Temas:</w:t>
      </w:r>
      <w:r>
        <w:rPr>
          <w:b w:val="false"/>
          <w:bCs w:val="false"/>
          <w:color w:val="262626"/>
          <w:sz w:val="21"/>
          <w:szCs w:val="21"/>
        </w:rPr>
        <w:t xml:space="preserve"> registro diario, por sección y por espacio curricular, de los contenidos efectivamente desarrollados. Lo completa el docente a cargo y lo supervisa periódicamente la Dirección de Nivel.</w:t>
      </w:r>
    </w:p>
    <w:p>
      <w:pPr>
        <w:pStyle w:val="ListParagraph"/>
        <w:numPr>
          <w:ilvl w:val="0"/>
          <w:numId w:val="1"/>
        </w:numPr>
        <w:spacing w:after="60"/>
      </w:pPr>
      <w:r>
        <w:rPr>
          <w:b/>
          <w:bCs/>
          <w:color w:val="262626"/>
          <w:sz w:val="21"/>
          <w:szCs w:val="21"/>
        </w:rPr>
        <w:t xml:space="preserve">Registro de asistencia de alumnos:</w:t>
      </w:r>
      <w:r>
        <w:rPr>
          <w:b w:val="false"/>
          <w:bCs w:val="false"/>
          <w:color w:val="262626"/>
          <w:sz w:val="21"/>
          <w:szCs w:val="21"/>
        </w:rPr>
        <w:t xml:space="preserve"> se toma diariamente en cada sección; las inasistencias reiteradas o los patrones de ausentismo se informan a Dirección de Nivel y, de corresponder, al Equipo de Orientación Escolar.</w:t>
      </w:r>
    </w:p>
    <w:p>
      <w:pPr>
        <w:pStyle w:val="ListParagraph"/>
        <w:numPr>
          <w:ilvl w:val="0"/>
          <w:numId w:val="1"/>
        </w:numPr>
        <w:spacing w:after="60"/>
      </w:pPr>
      <w:r>
        <w:rPr>
          <w:b/>
          <w:bCs/>
          <w:color w:val="262626"/>
          <w:sz w:val="21"/>
          <w:szCs w:val="21"/>
        </w:rPr>
        <w:t xml:space="preserve">Registro de asistencia docente:</w:t>
      </w:r>
      <w:r>
        <w:rPr>
          <w:b w:val="false"/>
          <w:bCs w:val="false"/>
          <w:color w:val="262626"/>
          <w:sz w:val="21"/>
          <w:szCs w:val="21"/>
        </w:rPr>
        <w:t xml:space="preserve"> ver Capítulo 6 (Recursos Humanos).</w:t>
      </w:r>
    </w:p>
    <w:p>
      <w:pPr>
        <w:pStyle w:val="Heading2"/>
        <w:spacing w:after="160" w:before="320"/>
      </w:pPr>
      <w:r>
        <w:rPr>
          <w:b/>
          <w:bCs/>
          <w:color w:val="1F3864"/>
        </w:rPr>
        <w:t xml:space="preserve">4.5 Actas de calificación, boletines y libretas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Carga de calificaciones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Docentes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Cada docente carga las calificaciones del período en el sistema/planilla oficial dentro del plazo fijado en el calendario académico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Consolidación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 vuelcan las calificaciones al acta oficial y a la libreta/boletín del alumno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Control de consistencia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Dirección de Nivel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Revisión de coherencia entre actas, libro de temas y boletines antes de la entrega a familias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 y entrega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Secretario/a Académico/a y Dirección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 del acta y entrega del boletín a la familia, con constancia de recepción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Archivo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Resguardo del acta original en el legajo institucional (no en el del alumno)</w:t>
            </w:r>
          </w:p>
        </w:tc>
      </w:tr>
    </w:tbl>
    <w:p>
      <w:pPr>
        <w:spacing w:after="200"/>
      </w:pPr>
    </w:p>
    <w:p>
      <w:pPr>
        <w:pStyle w:val="Heading2"/>
        <w:spacing w:after="160" w:before="320"/>
      </w:pPr>
      <w:r>
        <w:rPr>
          <w:b/>
          <w:bCs/>
          <w:color w:val="1F3864"/>
        </w:rPr>
        <w:t xml:space="preserve">4.6 Emisión de certificados analíticos, pases y constancias</w:t>
      </w:r>
    </w:p>
    <w:p>
      <w:pPr>
        <w:spacing w:after="160" w:line="300"/>
        <w:jc w:val="both"/>
      </w:pPr>
      <w:r>
        <w:rPr>
          <w:b w:val="false"/>
          <w:bCs w:val="false"/>
          <w:color w:val="262626"/>
          <w:sz w:val="21"/>
          <w:szCs w:val="21"/>
        </w:rPr>
        <w:t xml:space="preserve">Toda emisión de certificado analítico, pase o constancia debe: (i) basarse exclusivamente en la información asentada en el Libro Matriz y en las actas oficiales; (ii) numerarse correlativamente; (iii) ser firmada por el/la Secretario/a Académico/a y, cuando la normativa lo exija, legalizada ante la autoridad educativa jurisdiccional; (iv) dejar copia en el legajo del alumno.</w:t>
      </w:r>
    </w:p>
    <w:p>
      <w:pPr>
        <w:pStyle w:val="Heading2"/>
        <w:spacing w:after="160" w:before="320"/>
      </w:pPr>
      <w:r>
        <w:rPr>
          <w:b/>
          <w:bCs/>
          <w:color w:val="1F3864"/>
        </w:rPr>
        <w:t xml:space="preserve">4.7 Trámites ante la autoridad educativa jurisdiccional</w:t>
      </w:r>
    </w:p>
    <w:p>
      <w:pPr>
        <w:spacing w:after="160" w:line="300"/>
        <w:jc w:val="both"/>
      </w:pPr>
      <w:r>
        <w:rPr>
          <w:b w:val="false"/>
          <w:bCs w:val="false"/>
          <w:color w:val="262626"/>
          <w:sz w:val="21"/>
          <w:szCs w:val="21"/>
        </w:rPr>
        <w:t xml:space="preserve">Secretaría Académica, bajo supervisión del Representante Legal, es responsable de mantener actualizadas ante el organismo de contralor (DIPREGEP u homólogo provincial): la nómina de matrícula, la nómina de personal, los cambios de autoridades, y toda otra presentación periódica exigida (estadística educativa, relevamientos anuales, etc.), respetando el calendario oficial de presentaciones de la jurisdicción.</w:t>
      </w:r>
    </w:p>
    <w:p>
      <w:pPr>
        <w:pStyle w:val="Heading2"/>
        <w:spacing w:after="160" w:before="320"/>
      </w:pPr>
      <w:r>
        <w:rPr>
          <w:b/>
          <w:bCs/>
          <w:color w:val="1F3864"/>
        </w:rPr>
        <w:t xml:space="preserve">4.8 Régimen disciplinario y actas de convivencia</w:t>
      </w:r>
    </w:p>
    <w:p>
      <w:pPr>
        <w:spacing w:after="160" w:line="300"/>
        <w:jc w:val="both"/>
      </w:pPr>
      <w:r>
        <w:rPr>
          <w:b w:val="false"/>
          <w:bCs w:val="false"/>
          <w:color w:val="262626"/>
          <w:sz w:val="21"/>
          <w:szCs w:val="21"/>
        </w:rPr>
        <w:t xml:space="preserve">Toda sanción disciplinaria a un alumno/a debe: aplicarse conforme al Acuerdo/Reglamento de Convivencia vigente, previa notificación y posibilidad de descargo de la familia según corresponda a la gravedad; registrarse en acta firmada por Dirección y, cuando así lo prevea el reglamento, comunicarse formalmente a la familia; incorporarse al legajo del alumno.</w:t>
      </w:r>
    </w:p>
    <w:p>
      <w:pPr>
        <w:pStyle w:val="Heading2"/>
        <w:spacing w:after="160" w:before="320"/>
      </w:pPr>
      <w:r>
        <w:rPr>
          <w:b/>
          <w:bCs/>
          <w:color w:val="1F3864"/>
        </w:rPr>
        <w:t xml:space="preserve">4.9 Archivo y resguardo documental</w:t>
      </w:r>
    </w:p>
    <w:p>
      <w:pPr>
        <w:spacing w:after="160" w:line="300"/>
        <w:jc w:val="both"/>
      </w:pPr>
      <w:r>
        <w:rPr>
          <w:b w:val="false"/>
          <w:bCs w:val="false"/>
          <w:color w:val="262626"/>
          <w:sz w:val="21"/>
          <w:szCs w:val="21"/>
        </w:rPr>
        <w:t xml:space="preserve">Ver Capítulo 13 (Gestión Documental) para los plazos de guarda aplicables a cada tipo de documento académico.</w:t>
      </w:r>
    </w:p>
    <w:p>
      <w:pPr>
        <w:pStyle w:val="Heading1"/>
        <w:pageBreakBefore/>
        <w:pBdr>
          <w:bottom w:val="single" w:color="1F3864" w:sz="12" w:space="8"/>
        </w:pBdr>
        <w:spacing w:after="240" w:before="0"/>
      </w:pPr>
      <w:r>
        <w:rPr>
          <w:b/>
          <w:bCs/>
          <w:color w:val="1F3864"/>
        </w:rPr>
        <w:t xml:space="preserve">CAPÍTULO 5 — TESORERÍA Y ADMINISTRACIÓN FINANCIERA</w:t>
      </w:r>
    </w:p>
    <w:p>
      <w:pPr>
        <w:pStyle w:val="Heading2"/>
        <w:spacing w:after="160" w:before="320"/>
      </w:pPr>
      <w:r>
        <w:rPr>
          <w:b/>
          <w:bCs/>
          <w:color w:val="1F3864"/>
        </w:rPr>
        <w:t xml:space="preserve">5.1 Objetivo</w:t>
      </w:r>
    </w:p>
    <w:p>
      <w:pPr>
        <w:spacing w:after="160" w:line="300"/>
        <w:jc w:val="both"/>
      </w:pPr>
      <w:r>
        <w:rPr>
          <w:b w:val="false"/>
          <w:bCs w:val="false"/>
          <w:color w:val="262626"/>
          <w:sz w:val="21"/>
          <w:szCs w:val="21"/>
        </w:rPr>
        <w:t xml:space="preserve">Garantizar el uso ordenado, transparente y auditable de los recursos económicos del colegio, resguardando la sostenibilidad financiera de la institución y la confianza de las familias y de la Entidad Propietaria.</w:t>
      </w:r>
    </w:p>
    <w:p>
      <w:pPr>
        <w:pStyle w:val="Heading2"/>
        <w:spacing w:after="160" w:before="320"/>
      </w:pPr>
      <w:r>
        <w:rPr>
          <w:b/>
          <w:bCs/>
          <w:color w:val="1F3864"/>
        </w:rPr>
        <w:t xml:space="preserve">5.2 Aranceles y cuotas: fijación y comunicación</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Elaboración de propuesta de aranceles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Con base en el presupuesto anual y la estructura de costos (Capítulo 5.6)</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Aprobación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Entidad Propietaria / Representante Legal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Aprobación formal, en acta, del valor de matrícula, cuota mensual y aranceles complementarios</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Comunicación a las familias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Administración / Secretaría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Comunicación formal y por escrito, con antelación suficiente, del valor y de la política de incrementos del ciclo lectivo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Registro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Tesorería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Carga en el sistema de facturación/cobranza</w:t>
            </w:r>
          </w:p>
        </w:tc>
      </w:tr>
    </w:tbl>
    <w:p>
      <w:pPr>
        <w:spacing w:after="200"/>
      </w:pPr>
    </w:p>
    <w:p>
      <w:pPr>
        <w:pStyle w:val="Heading2"/>
        <w:spacing w:after="160" w:before="320"/>
      </w:pPr>
      <w:r>
        <w:rPr>
          <w:b/>
          <w:bCs/>
          <w:color w:val="1F3864"/>
        </w:rPr>
        <w:t xml:space="preserve">5.3 Cobranza</w:t>
      </w:r>
    </w:p>
    <w:p>
      <w:pPr>
        <w:pStyle w:val="ListParagraph"/>
        <w:numPr>
          <w:ilvl w:val="0"/>
          <w:numId w:val="1"/>
        </w:numPr>
        <w:spacing w:after="60"/>
      </w:pPr>
      <w:r>
        <w:rPr>
          <w:b w:val="false"/>
          <w:bCs w:val="false"/>
          <w:color w:val="262626"/>
          <w:sz w:val="21"/>
          <w:szCs w:val="21"/>
        </w:rPr>
        <w:t xml:space="preserve">Medios de pago habilitados: los que el colegio determine (transferencia, débito automático, tarjeta, efectivo con recibo numerado), evitando en lo posible el manejo de efectivo fuera de caja chica.</w:t>
      </w:r>
    </w:p>
    <w:p>
      <w:pPr>
        <w:pStyle w:val="ListParagraph"/>
        <w:numPr>
          <w:ilvl w:val="0"/>
          <w:numId w:val="1"/>
        </w:numPr>
        <w:spacing w:after="60"/>
      </w:pPr>
      <w:r>
        <w:rPr>
          <w:b w:val="false"/>
          <w:bCs w:val="false"/>
          <w:color w:val="262626"/>
          <w:sz w:val="21"/>
          <w:szCs w:val="21"/>
        </w:rPr>
        <w:t xml:space="preserve">Emisión de comprobante: toda cobranza debe emitir el comprobante fiscal correspondiente conforme a la normativa de ARCA (ex AFIP).</w:t>
      </w:r>
    </w:p>
    <w:p>
      <w:pPr>
        <w:pStyle w:val="ListParagraph"/>
        <w:numPr>
          <w:ilvl w:val="0"/>
          <w:numId w:val="1"/>
        </w:numPr>
        <w:spacing w:after="60"/>
      </w:pPr>
      <w:r>
        <w:rPr>
          <w:b/>
          <w:bCs/>
          <w:color w:val="262626"/>
          <w:sz w:val="21"/>
          <w:szCs w:val="21"/>
        </w:rPr>
        <w:t xml:space="preserve">Gestión de mora:</w:t>
      </w:r>
      <w:r>
        <w:rPr>
          <w:b w:val="false"/>
          <w:bCs w:val="false"/>
          <w:color w:val="262626"/>
          <w:sz w:val="21"/>
          <w:szCs w:val="21"/>
        </w:rPr>
        <w:t xml:space="preserve"> notificación administrativa a los 10 días de vencido el pago; segunda notificación a los 30 días con propuesta de plan de pago; evaluación por Dirección General y Administración de situaciones sociales que ameriten un tratamiento especial antes de cualquier medida que afecte la continuidad pedagógica del alumno/a (la normativa educativa de la mayoría de las jurisdicciones limita o prohíbe la suspensión de clases por deuda de aranceles: verificar la normativa jurisdiccional vigente antes de aplicar cualquier medida).</w:t>
      </w:r>
    </w:p>
    <w:p>
      <w:pPr>
        <w:pStyle w:val="ListParagraph"/>
        <w:numPr>
          <w:ilvl w:val="0"/>
          <w:numId w:val="1"/>
        </w:numPr>
        <w:spacing w:after="60"/>
      </w:pPr>
      <w:r>
        <w:rPr>
          <w:b w:val="false"/>
          <w:bCs w:val="false"/>
          <w:color w:val="262626"/>
          <w:sz w:val="21"/>
          <w:szCs w:val="21"/>
        </w:rPr>
        <w:t xml:space="preserve">Registro contable de cada cobro y conciliación mensual con el sistema de gestión de alumnos.</w:t>
      </w:r>
    </w:p>
    <w:p>
      <w:pPr>
        <w:pStyle w:val="Heading2"/>
        <w:spacing w:after="160" w:before="320"/>
      </w:pPr>
      <w:r>
        <w:rPr>
          <w:b/>
          <w:bCs/>
          <w:color w:val="1F3864"/>
        </w:rPr>
        <w:t xml:space="preserve">5.4 Becas y ayudas escolares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Solicitud</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Familia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Presentación de nota y documentación respaldatoria (situación económica, socio-familiar)</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Evaluación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Comité de Becas (Dirección General, Administración, Equipo de Orientación/Pastoral)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Análisis confidencial de la solicitud según criterios objetivos preestablecidos</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Resolución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Dirección General / Entidad Propietaria (según monto e impacto presupuestario)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Aprobación, rechazo o aprobación parcial, con fundamento por escrito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Comunicación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Comunicación reservada a la familia; la condición de becario es información confidencial que no debe ser conocida por terceros ajenos al Comité</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Registro y seguimiento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Actualización del legajo administrativo y revisión periódica (anual o ante cambio de situación)</w:t>
            </w:r>
          </w:p>
        </w:tc>
      </w:tr>
    </w:tbl>
    <w:p>
      <w:pPr>
        <w:spacing w:after="200"/>
      </w:pPr>
    </w:p>
    <w:p>
      <w:pPr>
        <w:pStyle w:val="Heading2"/>
        <w:spacing w:after="160" w:before="320"/>
      </w:pPr>
      <w:r>
        <w:rPr>
          <w:b/>
          <w:bCs/>
          <w:color w:val="1F3864"/>
        </w:rPr>
        <w:t xml:space="preserve">5.5 Caja chica</w:t>
      </w:r>
    </w:p>
    <w:p>
      <w:pPr>
        <w:pStyle w:val="ListParagraph"/>
        <w:numPr>
          <w:ilvl w:val="0"/>
          <w:numId w:val="1"/>
        </w:numPr>
        <w:spacing w:after="60"/>
      </w:pPr>
      <w:r>
        <w:rPr>
          <w:b w:val="false"/>
          <w:bCs w:val="false"/>
          <w:color w:val="262626"/>
          <w:sz w:val="21"/>
          <w:szCs w:val="21"/>
        </w:rPr>
        <w:t xml:space="preserve">Fondo fijo autorizado por Administración General, con un monto máximo definido por la Entidad Propietaria.</w:t>
      </w:r>
    </w:p>
    <w:p>
      <w:pPr>
        <w:pStyle w:val="ListParagraph"/>
        <w:numPr>
          <w:ilvl w:val="0"/>
          <w:numId w:val="1"/>
        </w:numPr>
        <w:spacing w:after="60"/>
      </w:pPr>
      <w:r>
        <w:rPr>
          <w:b w:val="false"/>
          <w:bCs w:val="false"/>
          <w:color w:val="262626"/>
          <w:sz w:val="21"/>
          <w:szCs w:val="21"/>
        </w:rPr>
        <w:t xml:space="preserve">Cada gasto debe respaldarse con comprobante fiscal válido y planilla de rendición firmada por quien retira los fondos.</w:t>
      </w:r>
    </w:p>
    <w:p>
      <w:pPr>
        <w:pStyle w:val="ListParagraph"/>
        <w:numPr>
          <w:ilvl w:val="0"/>
          <w:numId w:val="1"/>
        </w:numPr>
        <w:spacing w:after="60"/>
      </w:pPr>
      <w:r>
        <w:rPr>
          <w:b w:val="false"/>
          <w:bCs w:val="false"/>
          <w:color w:val="262626"/>
          <w:sz w:val="21"/>
          <w:szCs w:val="21"/>
        </w:rPr>
        <w:t xml:space="preserve">Rendición periódica (semanal o quincenal, según defina el colegio) ante Administración, con reposición del fondo únicamente contra rendición completa.</w:t>
      </w:r>
    </w:p>
    <w:p>
      <w:pPr>
        <w:pStyle w:val="ListParagraph"/>
        <w:numPr>
          <w:ilvl w:val="0"/>
          <w:numId w:val="1"/>
        </w:numPr>
        <w:spacing w:after="60"/>
      </w:pPr>
      <w:r>
        <w:rPr>
          <w:b w:val="false"/>
          <w:bCs w:val="false"/>
          <w:color w:val="262626"/>
          <w:sz w:val="21"/>
          <w:szCs w:val="21"/>
        </w:rPr>
        <w:t xml:space="preserve">Arqueos sorpresivos periódicos realizados por Administración o por auditoría interna.</w:t>
      </w:r>
    </w:p>
    <w:p>
      <w:pPr>
        <w:pStyle w:val="Heading2"/>
        <w:spacing w:after="160" w:before="320"/>
      </w:pPr>
      <w:r>
        <w:rPr>
          <w:b/>
          <w:bCs/>
          <w:color w:val="1F3864"/>
        </w:rPr>
        <w:t xml:space="preserve">5.6 Pagos a proveedores, presupuesto y control presupuestario</w:t>
      </w:r>
    </w:p>
    <w:p>
      <w:pPr>
        <w:pStyle w:val="ListParagraph"/>
        <w:numPr>
          <w:ilvl w:val="0"/>
          <w:numId w:val="1"/>
        </w:numPr>
        <w:spacing w:after="60"/>
      </w:pPr>
      <w:r>
        <w:rPr>
          <w:b w:val="false"/>
          <w:bCs w:val="false"/>
          <w:color w:val="262626"/>
          <w:sz w:val="21"/>
          <w:szCs w:val="21"/>
        </w:rPr>
        <w:t xml:space="preserve">El presupuesto anual se elabora entre septiembre y noviembre del año anterior, se somete a aprobación de la Entidad Propietaria y se ejecuta con seguimiento mensual de desvíos (real vs. presupuestado) a cargo de Administración, con informe a Dirección General.</w:t>
      </w:r>
    </w:p>
    <w:p>
      <w:pPr>
        <w:pStyle w:val="ListParagraph"/>
        <w:numPr>
          <w:ilvl w:val="0"/>
          <w:numId w:val="1"/>
        </w:numPr>
        <w:spacing w:after="60"/>
      </w:pPr>
      <w:r>
        <w:rPr>
          <w:b w:val="false"/>
          <w:bCs w:val="false"/>
          <w:color w:val="262626"/>
          <w:sz w:val="21"/>
          <w:szCs w:val="21"/>
        </w:rPr>
        <w:t xml:space="preserve">Toda erogación que exceda el monto de caja chica sigue el circuito de Compras y Proveedores (Capítulo 7) y requiere orden de pago firmada por Administración y, según el monto, por el Representante Legal.</w:t>
      </w:r>
    </w:p>
    <w:p>
      <w:pPr>
        <w:pStyle w:val="Heading2"/>
        <w:spacing w:after="160" w:before="320"/>
      </w:pPr>
      <w:r>
        <w:rPr>
          <w:b/>
          <w:bCs/>
          <w:color w:val="1F3864"/>
        </w:rPr>
        <w:t xml:space="preserve">5.7 Conciliaciones bancarias</w:t>
      </w:r>
    </w:p>
    <w:p>
      <w:pPr>
        <w:spacing w:after="160" w:line="300"/>
        <w:jc w:val="both"/>
      </w:pPr>
      <w:r>
        <w:rPr>
          <w:b w:val="false"/>
          <w:bCs w:val="false"/>
          <w:color w:val="262626"/>
          <w:sz w:val="21"/>
          <w:szCs w:val="21"/>
        </w:rPr>
        <w:t xml:space="preserve">Conciliación mensual de cada cuenta bancaria institucional, realizada por Administración y revisada por una persona distinta de quien realiza los pagos (principio de separación de funciones), con archivo del respaldo.</w:t>
      </w:r>
    </w:p>
    <w:p>
      <w:pPr>
        <w:pStyle w:val="Heading2"/>
        <w:spacing w:after="160" w:before="320"/>
      </w:pPr>
      <w:r>
        <w:rPr>
          <w:b/>
          <w:bCs/>
          <w:color w:val="1F3864"/>
        </w:rPr>
        <w:t xml:space="preserve">5.8 Cumplimiento impositivo y de la seguridad social</w:t>
      </w:r>
    </w:p>
    <w:p>
      <w:pPr>
        <w:spacing w:after="160" w:line="300"/>
        <w:jc w:val="both"/>
      </w:pPr>
      <w:r>
        <w:rPr>
          <w:b w:val="false"/>
          <w:bCs w:val="false"/>
          <w:color w:val="262626"/>
          <w:sz w:val="21"/>
          <w:szCs w:val="21"/>
        </w:rPr>
        <w:t xml:space="preserve">Tesorería/Administración, con el apoyo del estudio contable externo del colegio, debe asegurar: la correcta facturación conforme al régimen de ARCA (ex AFIP); el depósito en término de retenciones y percepciones; el pago de aportes y contribuciones de la seguridad social del personal (Capítulo 6); y la presentación de las declaraciones juradas impositivas periódicas.</w:t>
      </w:r>
    </w:p>
    <w:p>
      <w:pPr>
        <w:pStyle w:val="Heading2"/>
        <w:spacing w:after="160" w:before="320"/>
      </w:pPr>
      <w:r>
        <w:rPr>
          <w:b/>
          <w:bCs/>
          <w:color w:val="1F3864"/>
        </w:rPr>
        <w:t xml:space="preserve">5.9 Auditoría interna y rendición de cuentas</w:t>
      </w:r>
    </w:p>
    <w:p>
      <w:pPr>
        <w:spacing w:after="160" w:line="300"/>
        <w:jc w:val="both"/>
      </w:pPr>
      <w:r>
        <w:rPr>
          <w:b w:val="false"/>
          <w:bCs w:val="false"/>
          <w:color w:val="262626"/>
          <w:sz w:val="21"/>
          <w:szCs w:val="21"/>
        </w:rPr>
        <w:t xml:space="preserve">Administración presenta trimestralmente a la Entidad Propietaria un informe económico-financiero (ingresos, egresos, morosidad, ejecución presupuestaria). Se recomienda una auditoría externa anual, especialmente en instituciones con estructura societaria compleja o con financiamiento de terceros.</w:t>
      </w:r>
    </w:p>
    <w:p>
      <w:pPr>
        <w:pStyle w:val="Heading1"/>
        <w:pageBreakBefore/>
        <w:pBdr>
          <w:bottom w:val="single" w:color="1F3864" w:sz="12" w:space="8"/>
        </w:pBdr>
        <w:spacing w:after="240" w:before="0"/>
      </w:pPr>
      <w:r>
        <w:rPr>
          <w:b/>
          <w:bCs/>
          <w:color w:val="1F3864"/>
        </w:rPr>
        <w:t xml:space="preserve">CAPÍTULO 6 — RECURSOS HUMANOS</w:t>
      </w:r>
    </w:p>
    <w:p>
      <w:pPr>
        <w:pStyle w:val="Heading2"/>
        <w:spacing w:after="160" w:before="320"/>
      </w:pPr>
      <w:r>
        <w:rPr>
          <w:b/>
          <w:bCs/>
          <w:color w:val="1F3864"/>
        </w:rPr>
        <w:t xml:space="preserve">6.1 Objetivo</w:t>
      </w:r>
    </w:p>
    <w:p>
      <w:pPr>
        <w:spacing w:after="160" w:line="300"/>
        <w:jc w:val="both"/>
      </w:pPr>
      <w:r>
        <w:rPr>
          <w:b w:val="false"/>
          <w:bCs w:val="false"/>
          <w:color w:val="262626"/>
          <w:sz w:val="21"/>
          <w:szCs w:val="21"/>
        </w:rPr>
        <w:t xml:space="preserve">Garantizar procesos de selección, contratación, gestión y desvinculación del personal docente y no docente que cumplan con la normativa laboral aplicable y sostengan la idoneidad pedagógica y la adhesión al ideario institucional.</w:t>
      </w:r>
    </w:p>
    <w:p>
      <w:pPr>
        <w:pStyle w:val="Heading2"/>
        <w:spacing w:after="160" w:before="320"/>
      </w:pPr>
      <w:r>
        <w:rPr>
          <w:b/>
          <w:bCs/>
          <w:color w:val="1F3864"/>
        </w:rPr>
        <w:t xml:space="preserve">6.2 Reclutamiento y selección</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Detección de necesidad</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Dirección de Nivel / 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Vacante por creación de cargo, licencia prolongada o desvinculación</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Búsqueda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RRHH</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Publicación en canales institucionales, Junta de Clasificación Docente (cuando la vacante deba cubrirse por listado oficial) o búsqueda directa para cargos no docentes</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Evaluación de antecedentes y entrevista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Dirección de Nivel / Dirección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Evaluación de título habilitante, antecedentes y, cuando corresponda por la naturaleza confesional del colegio, adhesión al ideario institucional</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Verificación documental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RRHH</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Título docente legalizado, DNI, CUIL, certificado de antecedentes penales, apto médico preocupacional</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Contratación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RRHH / Administración / Representante Legal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Alta ante ARCA y ART, firma de contrato o designación, apertura de legajo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6</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Inducción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RRHH / Dirección de Nivel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Entrega de este Manual, del Reglamento Interno y del ideario institucional; recorrido institucional</w:t>
            </w:r>
          </w:p>
        </w:tc>
      </w:tr>
    </w:tbl>
    <w:p>
      <w:pPr>
        <w:spacing w:after="200"/>
      </w:pPr>
    </w:p>
    <w:p>
      <w:pPr>
        <w:pStyle w:val="Heading2"/>
        <w:spacing w:after="160" w:before="320"/>
      </w:pPr>
      <w:r>
        <w:rPr>
          <w:b/>
          <w:bCs/>
          <w:color w:val="1F3864"/>
        </w:rPr>
        <w:t xml:space="preserve">6.3 Legajo del personal</w:t>
      </w:r>
    </w:p>
    <w:p>
      <w:pPr>
        <w:spacing w:after="160" w:line="300"/>
        <w:jc w:val="both"/>
      </w:pPr>
      <w:r>
        <w:rPr>
          <w:b w:val="false"/>
          <w:bCs w:val="false"/>
          <w:color w:val="262626"/>
          <w:sz w:val="21"/>
          <w:szCs w:val="21"/>
        </w:rPr>
        <w:t xml:space="preserve">Cada empleado/a cuenta con un legajo que reúne: documentación de ingreso, título y antecedentes, contrato o acto de designación, altas ante ARCA/ART/obra social, licencias otorgadas, evaluaciones de desempeño, capacitaciones realizadas, y sanciones disciplinarias, si las hubiera. Acceso restringido a RRHH y Dirección.</w:t>
      </w:r>
    </w:p>
    <w:p>
      <w:pPr>
        <w:pStyle w:val="Heading2"/>
        <w:spacing w:after="160" w:before="320"/>
      </w:pPr>
      <w:r>
        <w:rPr>
          <w:b/>
          <w:bCs/>
          <w:color w:val="1F3864"/>
        </w:rPr>
        <w:t xml:space="preserve">6.4 Régimen de contratación</w:t>
      </w:r>
    </w:p>
    <w:p>
      <w:pPr>
        <w:pStyle w:val="ListParagraph"/>
        <w:numPr>
          <w:ilvl w:val="0"/>
          <w:numId w:val="1"/>
        </w:numPr>
        <w:spacing w:after="60"/>
      </w:pPr>
      <w:r>
        <w:rPr>
          <w:b/>
          <w:bCs/>
          <w:color w:val="262626"/>
          <w:sz w:val="21"/>
          <w:szCs w:val="21"/>
        </w:rPr>
        <w:t xml:space="preserve">Personal docente:</w:t>
      </w:r>
      <w:r>
        <w:rPr>
          <w:b w:val="false"/>
          <w:bCs w:val="false"/>
          <w:color w:val="262626"/>
          <w:sz w:val="21"/>
          <w:szCs w:val="21"/>
        </w:rPr>
        <w:t xml:space="preserve"> se rige por el Estatuto del Docente de Establecimientos de Enseñanza Privada (Ley N° 13.047 y su reglamentación) y por el Convenio Colectivo de Trabajo del sector, con representación gremial de SADOP. El Estado nacional/provincial aporta un porcentaje del salario docente según el nivel de subvención del establecimiento (aporte estatal), lo que exige a RRHH mantener actualizada la documentación que sustenta dicho aporte ante la autoridad educativa.</w:t>
      </w:r>
    </w:p>
    <w:p>
      <w:pPr>
        <w:pStyle w:val="ListParagraph"/>
        <w:numPr>
          <w:ilvl w:val="0"/>
          <w:numId w:val="1"/>
        </w:numPr>
        <w:spacing w:after="60"/>
      </w:pPr>
      <w:r>
        <w:rPr>
          <w:b/>
          <w:bCs/>
          <w:color w:val="262626"/>
          <w:sz w:val="21"/>
          <w:szCs w:val="21"/>
        </w:rPr>
        <w:t xml:space="preserve">Personal no docente</w:t>
      </w:r>
      <w:r>
        <w:rPr>
          <w:b w:val="false"/>
          <w:bCs w:val="false"/>
          <w:color w:val="262626"/>
          <w:sz w:val="21"/>
          <w:szCs w:val="21"/>
        </w:rPr>
        <w:t xml:space="preserve"> (administrativos, maestranza, mantenimiento): se rige por la Ley de Contrato de Trabajo N° 20.744 y el convenio colectivo que corresponda a la actividad.</w:t>
      </w:r>
    </w:p>
    <w:p>
      <w:pPr>
        <w:pStyle w:val="ListParagraph"/>
        <w:numPr>
          <w:ilvl w:val="0"/>
          <w:numId w:val="1"/>
        </w:numPr>
        <w:spacing w:after="60"/>
      </w:pPr>
      <w:r>
        <w:rPr>
          <w:b w:val="false"/>
          <w:bCs w:val="false"/>
          <w:color w:val="262626"/>
          <w:sz w:val="21"/>
          <w:szCs w:val="21"/>
        </w:rPr>
        <w:t xml:space="preserve">[Suponiendo] La equiparación salarial docente, el escalafón y los adicionales específicos (antigüedad, zona, título) deben verificarse con el Convenio Colectivo vigente y la escala salarial jurisdiccional actualizada, dado que estos valores se modifican con alta frecuencia.</w:t>
      </w:r>
    </w:p>
    <w:p>
      <w:pPr>
        <w:pStyle w:val="Heading2"/>
        <w:spacing w:after="160" w:before="320"/>
      </w:pPr>
      <w:r>
        <w:rPr>
          <w:b/>
          <w:bCs/>
          <w:color w:val="1F3864"/>
        </w:rPr>
        <w:t xml:space="preserve">6.5 Licencias, inasistencias y francos</w:t>
      </w:r>
    </w:p>
    <w:p>
      <w:pPr>
        <w:spacing w:after="160" w:line="300"/>
        <w:jc w:val="both"/>
      </w:pPr>
      <w:r>
        <w:rPr>
          <w:b w:val="false"/>
          <w:bCs w:val="false"/>
          <w:color w:val="262626"/>
          <w:sz w:val="21"/>
          <w:szCs w:val="21"/>
        </w:rPr>
        <w:t xml:space="preserve">El personal docente se rige por el régimen de licencias del Estatuto del Docente provincial correspondiente (a título de referencia, en la Provincia de Buenos Aires, Ley N° 10.579 y su reglamentación). RRHH debe: recibir la solicitud con la antelación y documentación exigida (certificado médico, etc.); registrar la licencia en el legajo y en el sistema de asistencia; gestionar, cuando corresponda, la cobertura por suplencia a través de la Junta de Clasificación Docente; informar a Administración el impacto en la liquidación de haberes.</w:t>
      </w:r>
    </w:p>
    <w:p>
      <w:pPr>
        <w:pStyle w:val="Heading2"/>
        <w:spacing w:after="160" w:before="320"/>
      </w:pPr>
      <w:r>
        <w:rPr>
          <w:b/>
          <w:bCs/>
          <w:color w:val="1F3864"/>
        </w:rPr>
        <w:t xml:space="preserve">6.6 Liquidación de haberes, aportes y contribuciones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Recopilación de novedades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RRHH</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Inasistencias, licencias, horas extra, adicionales del mes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Liquidación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RRHH / estudio contable externo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Cálculo de haberes conforme a convenio colectivo y aportes/contribuciones a la seguridad social</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Control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Administrador/a General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Revisión de la liquidación antes del pago (separación de funciones respecto de quien liquida)</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Pago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Tesorería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Acreditación en cuenta sueldo dentro de los plazos legales</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Presentación de declaraciones juradas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RRHH / estudio contable</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Presentación ante ARCA y depósito de aportes y contribuciones (jubilatorios, obra social, ART, SADOP) en término</w:t>
            </w:r>
          </w:p>
        </w:tc>
      </w:tr>
    </w:tbl>
    <w:p>
      <w:pPr>
        <w:spacing w:after="200"/>
      </w:pPr>
    </w:p>
    <w:p>
      <w:pPr>
        <w:pStyle w:val="Heading2"/>
        <w:spacing w:after="160" w:before="320"/>
      </w:pPr>
      <w:r>
        <w:rPr>
          <w:b/>
          <w:bCs/>
          <w:color w:val="1F3864"/>
        </w:rPr>
        <w:t xml:space="preserve">6.7 Evaluación de desempeño y capacitación</w:t>
      </w:r>
    </w:p>
    <w:p>
      <w:pPr>
        <w:spacing w:after="160" w:line="300"/>
        <w:jc w:val="both"/>
      </w:pPr>
      <w:r>
        <w:rPr>
          <w:b w:val="false"/>
          <w:bCs w:val="false"/>
          <w:color w:val="262626"/>
          <w:sz w:val="21"/>
          <w:szCs w:val="21"/>
        </w:rPr>
        <w:t xml:space="preserve">Se recomienda al menos una instancia anual de evaluación de desempeño para cada rol, a cargo de la línea de supervisión directa, con devolución formal y plan de capacitación cuando corresponda. El colegio debe promover la capacitación continua obligatoria en protección de derechos de niños, niñas y adolescentes y en protocolos de seguridad e higiene.</w:t>
      </w:r>
    </w:p>
    <w:p>
      <w:pPr>
        <w:pStyle w:val="Heading2"/>
        <w:spacing w:after="160" w:before="320"/>
      </w:pPr>
      <w:r>
        <w:rPr>
          <w:b/>
          <w:bCs/>
          <w:color w:val="1F3864"/>
        </w:rPr>
        <w:t xml:space="preserve">6.8 Régimen disciplinario laboral</w:t>
      </w:r>
    </w:p>
    <w:p>
      <w:pPr>
        <w:spacing w:after="160" w:line="300"/>
        <w:jc w:val="both"/>
      </w:pPr>
      <w:r>
        <w:rPr>
          <w:b w:val="false"/>
          <w:bCs w:val="false"/>
          <w:color w:val="262626"/>
          <w:sz w:val="21"/>
          <w:szCs w:val="21"/>
        </w:rPr>
        <w:t xml:space="preserve">Toda medida disciplinaria (apercibimiento, suspensión) debe: fundarse en hechos concretos y documentados; respetar el derecho de defensa; instrumentarse por escrito y notificarse fehacientemente; y, en el caso del personal docente, ajustarse al procedimiento sumarial previsto en el Estatuto del Docente aplicable.</w:t>
      </w:r>
    </w:p>
    <w:p>
      <w:pPr>
        <w:pStyle w:val="Heading2"/>
        <w:spacing w:after="160" w:before="320"/>
      </w:pPr>
      <w:r>
        <w:rPr>
          <w:b/>
          <w:bCs/>
          <w:color w:val="1F3864"/>
        </w:rPr>
        <w:t xml:space="preserve">6.9 Desvinculación</w:t>
      </w:r>
    </w:p>
    <w:p>
      <w:pPr>
        <w:spacing w:after="160" w:line="300"/>
        <w:jc w:val="both"/>
      </w:pPr>
      <w:r>
        <w:rPr>
          <w:b w:val="false"/>
          <w:bCs w:val="false"/>
          <w:color w:val="262626"/>
          <w:sz w:val="21"/>
          <w:szCs w:val="21"/>
        </w:rPr>
        <w:t xml:space="preserve">RRHH gestiona la liquidación final, la baja ante ARCA/ART/obra social, la entrega del certificado de trabajo y de aportes y contribuciones (Art. 80 LCT), y el archivo del legajo por el plazo legal correspondiente (Capítulo 13).</w:t>
      </w:r>
    </w:p>
    <w:p>
      <w:pPr>
        <w:pStyle w:val="Heading1"/>
        <w:pageBreakBefore/>
        <w:pBdr>
          <w:bottom w:val="single" w:color="1F3864" w:sz="12" w:space="8"/>
        </w:pBdr>
        <w:spacing w:after="240" w:before="0"/>
      </w:pPr>
      <w:r>
        <w:rPr>
          <w:b/>
          <w:bCs/>
          <w:color w:val="1F3864"/>
        </w:rPr>
        <w:t xml:space="preserve">CAPÍTULO 7 — COMPRAS Y PROVEEDORES</w:t>
      </w:r>
    </w:p>
    <w:p>
      <w:pPr>
        <w:pStyle w:val="Heading2"/>
        <w:spacing w:after="160" w:before="320"/>
      </w:pPr>
      <w:r>
        <w:rPr>
          <w:b/>
          <w:bCs/>
          <w:color w:val="1F3864"/>
        </w:rPr>
        <w:t xml:space="preserve">7.1 Objetivo</w:t>
      </w:r>
    </w:p>
    <w:p>
      <w:pPr>
        <w:spacing w:after="160" w:line="300"/>
        <w:jc w:val="both"/>
      </w:pPr>
      <w:r>
        <w:rPr>
          <w:b w:val="false"/>
          <w:bCs w:val="false"/>
          <w:color w:val="262626"/>
          <w:sz w:val="21"/>
          <w:szCs w:val="21"/>
        </w:rPr>
        <w:t xml:space="preserve">Asegurar que toda compra de bienes o contratación de servicios se realice con transparencia, buena relación costo-beneficio y control cruzado entre quien solicita, quien autoriza y quien paga.</w:t>
      </w:r>
    </w:p>
    <w:p>
      <w:pPr>
        <w:pStyle w:val="Heading2"/>
        <w:spacing w:after="160" w:before="320"/>
      </w:pPr>
      <w:r>
        <w:rPr>
          <w:b/>
          <w:bCs/>
          <w:color w:val="1F3864"/>
        </w:rPr>
        <w:t xml:space="preserve">7.2 Circuito de compras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Solicitud de compra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Área requirente (Mantenimiento, Secretaría, Dirección de Nivel, etc.)</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Nota o formulario interno especificando bien/servicio, cantidad y justificación</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Cotización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Encargado/a de Compras</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Como mínimo tres presupuestos para compras por encima del monto que defina Administración; para montos menores, análisis de precio de mercado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Autorización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Administrador/a General (y Representante Legal para montos mayores, según escala de autorizaciones que defina la Entidad Propietaria)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Selección de proveedor y emisión de orden de compra</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Recepción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Área requirente / Encargado/a de Compras</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Control de conformidad entre lo pedido, lo remitido y la factura recibida</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Registro y pago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Tesorería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Registro contable, retenciones que correspondan, pago según condiciones pactadas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6</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Archivo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Orden de compra, remito y factura archivados juntos por el plazo de guarda fiscal vigente</w:t>
            </w:r>
          </w:p>
        </w:tc>
      </w:tr>
    </w:tbl>
    <w:p>
      <w:pPr>
        <w:spacing w:after="200"/>
      </w:pPr>
    </w:p>
    <w:p>
      <w:pPr>
        <w:pStyle w:val="Heading2"/>
        <w:spacing w:after="160" w:before="320"/>
      </w:pPr>
      <w:r>
        <w:rPr>
          <w:b/>
          <w:bCs/>
          <w:color w:val="1F3864"/>
        </w:rPr>
        <w:t xml:space="preserve">7.3 Homologación y evaluación de proveedores</w:t>
      </w:r>
    </w:p>
    <w:p>
      <w:pPr>
        <w:spacing w:after="160" w:line="300"/>
        <w:jc w:val="both"/>
      </w:pPr>
      <w:r>
        <w:rPr>
          <w:b w:val="false"/>
          <w:bCs w:val="false"/>
          <w:color w:val="262626"/>
          <w:sz w:val="21"/>
          <w:szCs w:val="21"/>
        </w:rPr>
        <w:t xml:space="preserve">Se recomienda mantener un registro de proveedores habituales con datos fiscales verificados, evaluando periódicamente cumplimiento en plazos, calidad y precio. Para proveedores que ingresan al edificio en horario escolar (mantenimiento, obras), verificar seguro de responsabilidad civil y cobertura de ART de su personal antes del ingreso.</w:t>
      </w:r>
    </w:p>
    <w:p>
      <w:pPr>
        <w:pStyle w:val="Heading1"/>
        <w:pageBreakBefore/>
        <w:pBdr>
          <w:bottom w:val="single" w:color="1F3864" w:sz="12" w:space="8"/>
        </w:pBdr>
        <w:spacing w:after="240" w:before="0"/>
      </w:pPr>
      <w:r>
        <w:rPr>
          <w:b/>
          <w:bCs/>
          <w:color w:val="1F3864"/>
        </w:rPr>
        <w:t xml:space="preserve">CAPÍTULO 8 — MANTENIMIENTO E INFRAESTRUCTURA</w:t>
      </w:r>
    </w:p>
    <w:p>
      <w:pPr>
        <w:pStyle w:val="Heading2"/>
        <w:spacing w:after="160" w:before="320"/>
      </w:pPr>
      <w:r>
        <w:rPr>
          <w:b/>
          <w:bCs/>
          <w:color w:val="1F3864"/>
        </w:rPr>
        <w:t xml:space="preserve">8.1 Objetivo</w:t>
      </w:r>
    </w:p>
    <w:p>
      <w:pPr>
        <w:spacing w:after="160" w:line="300"/>
        <w:jc w:val="both"/>
      </w:pPr>
      <w:r>
        <w:rPr>
          <w:b w:val="false"/>
          <w:bCs w:val="false"/>
          <w:color w:val="262626"/>
          <w:sz w:val="21"/>
          <w:szCs w:val="21"/>
        </w:rPr>
        <w:t xml:space="preserve">Garantizar condiciones edilicias seguras y en buen estado de funcionamiento, y mantener vigente toda habilitación municipal, provincial y de bomberos exigible.</w:t>
      </w:r>
    </w:p>
    <w:p>
      <w:pPr>
        <w:pStyle w:val="Heading2"/>
        <w:spacing w:after="160" w:before="320"/>
      </w:pPr>
      <w:r>
        <w:rPr>
          <w:b/>
          <w:bCs/>
          <w:color w:val="1F3864"/>
        </w:rPr>
        <w:t xml:space="preserve">8.2 Mantenimiento preventivo y correctivo</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Plan anual de mantenimiento preventivo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Encargado/a de Mantenimiento / 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Cronograma de revisión de instalaciones eléctricas, sanitarias, de gas, matafuegos, luces de emergencia, juegos y espacios exteriores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Solicitud de reparación correctiva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Cualquier miembro del personal</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Formulario de reporte de desperfecto, con prioridad asignada (urgente/programable)</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Diagnóstico y ejecución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Encargado/a de Mantenimiento (interno o proveedor externo)</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Resolución del desperfecto y registro de lo actuado</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Cierre y control de calidad</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Área requirente</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Conformidad de la reparación realizada</w:t>
            </w:r>
          </w:p>
        </w:tc>
      </w:tr>
    </w:tbl>
    <w:p>
      <w:pPr>
        <w:spacing w:after="200"/>
      </w:pPr>
    </w:p>
    <w:p>
      <w:pPr>
        <w:pStyle w:val="Heading2"/>
        <w:spacing w:after="160" w:before="320"/>
      </w:pPr>
      <w:r>
        <w:rPr>
          <w:b/>
          <w:bCs/>
          <w:color w:val="1F3864"/>
        </w:rPr>
        <w:t xml:space="preserve">8.3 Habilitaciones y certificados obligatorios</w:t>
      </w:r>
    </w:p>
    <w:p>
      <w:pPr>
        <w:spacing w:after="160" w:line="300"/>
        <w:jc w:val="both"/>
      </w:pPr>
      <w:r>
        <w:rPr>
          <w:b w:val="false"/>
          <w:bCs w:val="false"/>
          <w:color w:val="262626"/>
          <w:sz w:val="21"/>
          <w:szCs w:val="21"/>
        </w:rPr>
        <w:t xml:space="preserve">Administración debe mantener un legajo único con vencimientos de: habilitación municipal del establecimiento, certificado de bomberos/matafuegos, certificado de instalación eléctrica y de gas, certificado de estructura y de seguridad de juegos (nivel inicial), seguro de responsabilidad civil del establecimiento y seguro de accidentes personales de alumnos. Se recomienda un calendario de vencimientos con alertas a 90, 60 y 30 días.</w:t>
      </w:r>
    </w:p>
    <w:p>
      <w:pPr>
        <w:pStyle w:val="Heading1"/>
        <w:pageBreakBefore/>
        <w:pBdr>
          <w:bottom w:val="single" w:color="1F3864" w:sz="12" w:space="8"/>
        </w:pBdr>
        <w:spacing w:after="240" w:before="0"/>
      </w:pPr>
      <w:r>
        <w:rPr>
          <w:b/>
          <w:bCs/>
          <w:color w:val="1F3864"/>
        </w:rPr>
        <w:t xml:space="preserve">CAPÍTULO 9 — SEGURIDAD, HIGIENE Y PROTOCOLOS DE EMERGENCIA</w:t>
      </w:r>
    </w:p>
    <w:p>
      <w:pPr>
        <w:pStyle w:val="Heading2"/>
        <w:spacing w:after="160" w:before="320"/>
      </w:pPr>
      <w:r>
        <w:rPr>
          <w:b/>
          <w:bCs/>
          <w:color w:val="1F3864"/>
        </w:rPr>
        <w:t xml:space="preserve">9.1 Comité de Seguridad e Higiene</w:t>
      </w:r>
    </w:p>
    <w:p>
      <w:pPr>
        <w:spacing w:after="160" w:line="300"/>
        <w:jc w:val="both"/>
      </w:pPr>
      <w:r>
        <w:rPr>
          <w:b w:val="false"/>
          <w:bCs w:val="false"/>
          <w:color w:val="262626"/>
          <w:sz w:val="21"/>
          <w:szCs w:val="21"/>
        </w:rPr>
        <w:t xml:space="preserve">Integrado por Dirección General, Administración, Encargado/a de Mantenimiento y un representante docente por nivel. Se reúne al menos trimestralmente para revisar riesgos, simulacros y capacitación.</w:t>
      </w:r>
    </w:p>
    <w:p>
      <w:pPr>
        <w:pStyle w:val="Heading2"/>
        <w:spacing w:after="160" w:before="320"/>
      </w:pPr>
      <w:r>
        <w:rPr>
          <w:b/>
          <w:bCs/>
          <w:color w:val="1F3864"/>
        </w:rPr>
        <w:t xml:space="preserve">9.2 Protocolo de evacuación y simulacros</w:t>
      </w:r>
    </w:p>
    <w:p>
      <w:pPr>
        <w:pStyle w:val="ListParagraph"/>
        <w:numPr>
          <w:ilvl w:val="0"/>
          <w:numId w:val="1"/>
        </w:numPr>
        <w:spacing w:after="60"/>
      </w:pPr>
      <w:r>
        <w:rPr>
          <w:b w:val="false"/>
          <w:bCs w:val="false"/>
          <w:color w:val="262626"/>
          <w:sz w:val="21"/>
          <w:szCs w:val="21"/>
        </w:rPr>
        <w:t xml:space="preserve">Plano de evacuación exhibido en cada sector del edificio.</w:t>
      </w:r>
    </w:p>
    <w:p>
      <w:pPr>
        <w:pStyle w:val="ListParagraph"/>
        <w:numPr>
          <w:ilvl w:val="0"/>
          <w:numId w:val="1"/>
        </w:numPr>
        <w:spacing w:after="60"/>
      </w:pPr>
      <w:r>
        <w:rPr>
          <w:b w:val="false"/>
          <w:bCs w:val="false"/>
          <w:color w:val="262626"/>
          <w:sz w:val="21"/>
          <w:szCs w:val="21"/>
        </w:rPr>
        <w:t xml:space="preserve">Simulacro de evacuación con registro escrito de tiempos y observaciones, con la frecuencia mínima que exija la normativa jurisdiccional (habitualmente al menos dos veces por año).</w:t>
      </w:r>
    </w:p>
    <w:p>
      <w:pPr>
        <w:pStyle w:val="ListParagraph"/>
        <w:numPr>
          <w:ilvl w:val="0"/>
          <w:numId w:val="1"/>
        </w:numPr>
        <w:spacing w:after="60"/>
      </w:pPr>
      <w:r>
        <w:rPr>
          <w:b w:val="false"/>
          <w:bCs w:val="false"/>
          <w:color w:val="262626"/>
          <w:sz w:val="21"/>
          <w:szCs w:val="21"/>
        </w:rPr>
        <w:t xml:space="preserve">Roles asignados por sector: responsable de conteo de alumnos, responsable de apertura de salidas, responsable de primeros auxilios.</w:t>
      </w:r>
    </w:p>
    <w:p>
      <w:pPr>
        <w:pStyle w:val="Heading2"/>
        <w:spacing w:after="160" w:before="320"/>
      </w:pPr>
      <w:r>
        <w:rPr>
          <w:b/>
          <w:bCs/>
          <w:color w:val="1F3864"/>
        </w:rPr>
        <w:t xml:space="preserve">9.3 Protocolo ante accidentes escolares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Atención inmediata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Personal presente / enfermería si la hubiera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Primeros auxilios y evaluación de gravedad</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Comunicación a la familia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Dirección/Secretaría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Notificación inmediata por el medio de contacto de emergencia registrado en el legajo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Traslado, si corresponde</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Dirección / 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Activación del seguro de accidentes personales del alumno y/o servicio de emergencias médicas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Registro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Dirección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Acta de accidente escolar incorporada al legajo del alumno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Reporte a ART (personal)</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RRHH</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Denuncia del siniestro laboral dentro de las 72 horas cuando el afectado sea personal del colegio</w:t>
            </w:r>
          </w:p>
        </w:tc>
      </w:tr>
    </w:tbl>
    <w:p>
      <w:pPr>
        <w:spacing w:after="200"/>
      </w:pPr>
    </w:p>
    <w:p>
      <w:pPr>
        <w:pStyle w:val="Heading2"/>
        <w:spacing w:after="160" w:before="320"/>
      </w:pPr>
      <w:r>
        <w:rPr>
          <w:b/>
          <w:bCs/>
          <w:color w:val="1F3864"/>
        </w:rPr>
        <w:t xml:space="preserve">9.4 Protocolo de emergencias sanitarias y seguridad en salidas educativas</w:t>
      </w:r>
    </w:p>
    <w:p>
      <w:pPr>
        <w:spacing w:after="160" w:line="300"/>
        <w:jc w:val="both"/>
      </w:pPr>
      <w:r>
        <w:rPr>
          <w:b w:val="false"/>
          <w:bCs w:val="false"/>
          <w:color w:val="262626"/>
          <w:sz w:val="21"/>
          <w:szCs w:val="21"/>
        </w:rPr>
        <w:t xml:space="preserve">El colegio debe mantener protocolos escritos y actualizados para brotes epidemiológicos (según lineamientos vigentes de la autoridad sanitaria) y para salidas educativas y viajes (autorización escrita de la familia, seguro de viajero, listado de alumnos y responsables, protocolo de contingencia).</w:t>
      </w:r>
    </w:p>
    <w:p>
      <w:pPr>
        <w:pStyle w:val="Heading1"/>
        <w:pageBreakBefore/>
        <w:pBdr>
          <w:bottom w:val="single" w:color="1F3864" w:sz="12" w:space="8"/>
        </w:pBdr>
        <w:spacing w:after="240" w:before="0"/>
      </w:pPr>
      <w:r>
        <w:rPr>
          <w:b/>
          <w:bCs/>
          <w:color w:val="1F3864"/>
        </w:rPr>
        <w:t xml:space="preserve">CAPÍTULO 10 — BIBLIOTECA Y RECURSOS PEDAGÓGICOS</w:t>
      </w:r>
    </w:p>
    <w:p>
      <w:pPr>
        <w:pStyle w:val="Heading2"/>
        <w:spacing w:after="160" w:before="320"/>
      </w:pPr>
      <w:r>
        <w:rPr>
          <w:b/>
          <w:bCs/>
          <w:color w:val="1F3864"/>
        </w:rPr>
        <w:t xml:space="preserve">10.1 Objetivo</w:t>
      </w:r>
    </w:p>
    <w:p>
      <w:pPr>
        <w:spacing w:after="160" w:line="300"/>
        <w:jc w:val="both"/>
      </w:pPr>
      <w:r>
        <w:rPr>
          <w:b w:val="false"/>
          <w:bCs w:val="false"/>
          <w:color w:val="262626"/>
          <w:sz w:val="21"/>
          <w:szCs w:val="21"/>
        </w:rPr>
        <w:t xml:space="preserve">Asegurar el uso, préstamo y conservación ordenada del material bibliográfico y de los recursos pedagógicos institucionales.</w:t>
      </w:r>
    </w:p>
    <w:p>
      <w:pPr>
        <w:pStyle w:val="Heading2"/>
        <w:spacing w:after="160" w:before="320"/>
      </w:pPr>
      <w:r>
        <w:rPr>
          <w:b/>
          <w:bCs/>
          <w:color w:val="1F3864"/>
        </w:rPr>
        <w:t xml:space="preserve">10.2 Préstamo de material</w:t>
      </w:r>
    </w:p>
    <w:p>
      <w:pPr>
        <w:spacing w:after="160" w:line="300"/>
        <w:jc w:val="both"/>
      </w:pPr>
      <w:r>
        <w:rPr>
          <w:b w:val="false"/>
          <w:bCs w:val="false"/>
          <w:color w:val="262626"/>
          <w:sz w:val="21"/>
          <w:szCs w:val="21"/>
        </w:rPr>
        <w:t xml:space="preserve">Registro de préstamo (físico o digital) con fecha de retiro y devolución esperada; recordatorio ante vencimiento; reposición o valorización económica en caso de pérdida o deterioro, conforme a la política que defina el colegio.</w:t>
      </w:r>
    </w:p>
    <w:p>
      <w:pPr>
        <w:pStyle w:val="Heading2"/>
        <w:spacing w:after="160" w:before="320"/>
      </w:pPr>
      <w:r>
        <w:rPr>
          <w:b/>
          <w:bCs/>
          <w:color w:val="1F3864"/>
        </w:rPr>
        <w:t xml:space="preserve">10.3 Inventario</w:t>
      </w:r>
    </w:p>
    <w:p>
      <w:pPr>
        <w:spacing w:after="160" w:line="300"/>
        <w:jc w:val="both"/>
      </w:pPr>
      <w:r>
        <w:rPr>
          <w:b w:val="false"/>
          <w:bCs w:val="false"/>
          <w:color w:val="262626"/>
          <w:sz w:val="21"/>
          <w:szCs w:val="21"/>
        </w:rPr>
        <w:t xml:space="preserve">Inventario anual del material bibliográfico y de los recursos didácticos de uso común, a cargo del/la Bibliotecario/a, con informe de bajas por deterioro y necesidades de reposición elevado a Dirección de Nivel.</w:t>
      </w:r>
    </w:p>
    <w:p>
      <w:pPr>
        <w:pStyle w:val="Heading1"/>
        <w:pageBreakBefore/>
        <w:pBdr>
          <w:bottom w:val="single" w:color="1F3864" w:sz="12" w:space="8"/>
        </w:pBdr>
        <w:spacing w:after="240" w:before="0"/>
      </w:pPr>
      <w:r>
        <w:rPr>
          <w:b/>
          <w:bCs/>
          <w:color w:val="1F3864"/>
        </w:rPr>
        <w:t xml:space="preserve">CAPÍTULO 11 — COMUNICACIÓN INSTITUCIONAL Y ATENCIÓN A FAMILIAS</w:t>
      </w:r>
    </w:p>
    <w:p>
      <w:pPr>
        <w:pStyle w:val="Heading2"/>
        <w:spacing w:after="160" w:before="320"/>
      </w:pPr>
      <w:r>
        <w:rPr>
          <w:b/>
          <w:bCs/>
          <w:color w:val="1F3864"/>
        </w:rPr>
        <w:t xml:space="preserve">11.1 Canales oficiales de comunicación</w:t>
      </w:r>
    </w:p>
    <w:p>
      <w:pPr>
        <w:spacing w:after="160" w:line="300"/>
        <w:jc w:val="both"/>
      </w:pPr>
      <w:r>
        <w:rPr>
          <w:b w:val="false"/>
          <w:bCs w:val="false"/>
          <w:color w:val="262626"/>
          <w:sz w:val="21"/>
          <w:szCs w:val="21"/>
        </w:rPr>
        <w:t xml:space="preserve">El colegio debe definir y comunicar a las familias cuáles son sus canales oficiales (cuaderno de comunicaciones, plataforma digital, correo institucional, circulares firmadas). Toda comunicación relevante para efectos administrativos (citaciones, notificación de sanciones, cambios de aranceles) debe cursarse por un canal que permita acreditar la recepción.</w:t>
      </w:r>
    </w:p>
    <w:p>
      <w:pPr>
        <w:pStyle w:val="Heading2"/>
        <w:spacing w:after="160" w:before="320"/>
      </w:pPr>
      <w:r>
        <w:rPr>
          <w:b/>
          <w:bCs/>
          <w:color w:val="1F3864"/>
        </w:rPr>
        <w:t xml:space="preserve">11.2 Gestión de reclamos y sugerencias</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Recepción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Secretaría / 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Registro del reclamo con fecha, medio y datos del solicitante</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Derivación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Al área competente según la naturaleza del reclamo</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Resolución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Área competente</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Respuesta fundada dentro de un plazo razonable (se recomienda no más de 10 días hábiles)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Cierre y registro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Constancia de la respuesta brindada, incorporada al registro institucional de reclamos</w:t>
            </w:r>
          </w:p>
        </w:tc>
      </w:tr>
    </w:tbl>
    <w:p>
      <w:pPr>
        <w:spacing w:after="200"/>
      </w:pPr>
    </w:p>
    <w:p>
      <w:pPr>
        <w:pStyle w:val="Heading2"/>
        <w:spacing w:after="160" w:before="320"/>
      </w:pPr>
      <w:r>
        <w:rPr>
          <w:b/>
          <w:bCs/>
          <w:color w:val="1F3864"/>
        </w:rPr>
        <w:t xml:space="preserve">11.3 Reuniones de padres y entrega de boletines</w:t>
      </w:r>
    </w:p>
    <w:p>
      <w:pPr>
        <w:spacing w:after="160" w:line="300"/>
        <w:jc w:val="both"/>
      </w:pPr>
      <w:r>
        <w:rPr>
          <w:b w:val="false"/>
          <w:bCs w:val="false"/>
          <w:color w:val="262626"/>
          <w:sz w:val="21"/>
          <w:szCs w:val="21"/>
        </w:rPr>
        <w:t xml:space="preserve">Se calendarizan al inicio del ciclo lectivo; Secretaría Académica coordina la logística y Dirección de Nivel su contenido pedagógico. Toda reunión individual con impacto administrativo (por ejemplo, situaciones de mora o de convivencia) debe registrarse con una minuta breve.</w:t>
      </w:r>
    </w:p>
    <w:p>
      <w:pPr>
        <w:pStyle w:val="Heading1"/>
        <w:pageBreakBefore/>
        <w:pBdr>
          <w:bottom w:val="single" w:color="1F3864" w:sz="12" w:space="8"/>
        </w:pBdr>
        <w:spacing w:after="240" w:before="0"/>
      </w:pPr>
      <w:r>
        <w:rPr>
          <w:b/>
          <w:bCs/>
          <w:color w:val="1F3864"/>
        </w:rPr>
        <w:t xml:space="preserve">CAPÍTULO 12 — IDENTIDAD Y GESTIÓN PASTORAL</w:t>
      </w:r>
    </w:p>
    <w:p>
      <w:pPr>
        <w:pStyle w:val="Heading2"/>
        <w:spacing w:after="160" w:before="320"/>
      </w:pPr>
      <w:r>
        <w:rPr>
          <w:b/>
          <w:bCs/>
          <w:color w:val="1F3864"/>
        </w:rPr>
        <w:t xml:space="preserve">12.1 Objetivo</w:t>
      </w:r>
    </w:p>
    <w:p>
      <w:pPr>
        <w:spacing w:after="160" w:line="300"/>
        <w:jc w:val="both"/>
      </w:pPr>
      <w:r>
        <w:rPr>
          <w:b w:val="false"/>
          <w:bCs w:val="false"/>
          <w:color w:val="262626"/>
          <w:sz w:val="21"/>
          <w:szCs w:val="21"/>
        </w:rPr>
        <w:t xml:space="preserve">Este capítulo es propio de la naturaleza confesional del establecimiento: ordena la dimensión administrativa del vínculo entre el colegio y la entidad religiosa titular, y el resguardo del ideario institucional en la gestión diaria.</w:t>
      </w:r>
    </w:p>
    <w:p>
      <w:pPr>
        <w:pStyle w:val="Heading2"/>
        <w:spacing w:after="160" w:before="320"/>
      </w:pPr>
      <w:r>
        <w:rPr>
          <w:b/>
          <w:bCs/>
          <w:color w:val="1F3864"/>
        </w:rPr>
        <w:t xml:space="preserve">12.2 Vínculo con la entidad religiosa titular</w:t>
      </w:r>
    </w:p>
    <w:p>
      <w:pPr>
        <w:spacing w:after="160" w:line="300"/>
        <w:jc w:val="both"/>
      </w:pPr>
      <w:r>
        <w:rPr>
          <w:b w:val="false"/>
          <w:bCs w:val="false"/>
          <w:color w:val="262626"/>
          <w:sz w:val="21"/>
          <w:szCs w:val="21"/>
        </w:rPr>
        <w:t xml:space="preserve">El Asesor/a Pastoral o Capellán es el nexo administrativo entre el colegio y la parroquia, congregación o autoridad diocesana de referencia. Coordina con Dirección General el calendario de celebraciones litúrgicas, retiros espirituales y catequesis, y su articulación con el calendario escolar oficial sin afectar la carga horaria curricular obligatoria.</w:t>
      </w:r>
    </w:p>
    <w:p>
      <w:pPr>
        <w:pStyle w:val="Heading2"/>
        <w:spacing w:after="160" w:before="320"/>
      </w:pPr>
      <w:r>
        <w:rPr>
          <w:b/>
          <w:bCs/>
          <w:color w:val="1F3864"/>
        </w:rPr>
        <w:t xml:space="preserve">12.3 Catequesis y sacramentos: coordinación administrativa</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2337"/>
        <w:gridCol w:w="2337"/>
        <w:gridCol w:w="2337"/>
        <w:gridCol w:w="2337"/>
      </w:tblGrid>
      <w:tr>
        <w:trPr>
          <w:tblHeader/>
        </w:trPr>
        <w:tc>
          <w:tcPr>
            <w:tcW w:type="dxa" w:w="2337"/>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Responsable</w:t>
            </w:r>
          </w:p>
        </w:tc>
        <w:tc>
          <w:tcPr>
            <w:tcW w:type="dxa" w:w="2337"/>
            <w:shd w:fill="1F3864" w:color="auto" w:val="clear"/>
            <w:tcMar>
              <w:top w:type="dxa" w:w="80"/>
              <w:left w:type="dxa" w:w="100"/>
              <w:bottom w:type="dxa" w:w="80"/>
              <w:right w:type="dxa" w:w="100"/>
            </w:tcMar>
            <w:vAlign w:val="center"/>
          </w:tcPr>
          <w:p>
            <w:r>
              <w:rPr>
                <w:b/>
                <w:bCs/>
                <w:color w:val="FFFFFF"/>
                <w:sz w:val="18"/>
                <w:szCs w:val="18"/>
              </w:rPr>
              <w:t xml:space="preserve">Descripción</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Comunicación a las familias</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Asesor/a Pastoral / Secretaría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Información sobre la propuesta catequística y sacramental del ciclo lectivo, y su carácter obligatorio u opcional según el ideario y la normativa vigente sobre libertad de conciencia</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Inscripción</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Registro de alumnos participantes, con autorización familiar cuando corresponda</w:t>
            </w:r>
          </w:p>
        </w:tc>
      </w:tr>
      <w:tr>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Coordinación logística</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Asesor/a Pastoral / Administración</w:t>
            </w:r>
          </w:p>
        </w:tc>
        <w:tc>
          <w:tcPr>
            <w:tcW w:type="dxa" w:w="2337"/>
            <w:tcMar>
              <w:top w:type="dxa" w:w="70"/>
              <w:left w:type="dxa" w:w="100"/>
              <w:bottom w:type="dxa" w:w="70"/>
              <w:right w:type="dxa" w:w="100"/>
            </w:tcMar>
            <w:vAlign w:val="center"/>
          </w:tcPr>
          <w:p>
            <w:pPr>
              <w:spacing w:after="0"/>
            </w:pPr>
            <w:r>
              <w:rPr>
                <w:b w:val="false"/>
                <w:bCs w:val="false"/>
                <w:color w:val="262626"/>
                <w:sz w:val="21"/>
                <w:szCs w:val="21"/>
              </w:rPr>
              <w:t xml:space="preserve">Espacios, recursos y comunicación con la parroquia/diócesis para las celebraciones</w:t>
            </w:r>
          </w:p>
        </w:tc>
      </w:tr>
      <w:tr>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Registro</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w:t>
            </w:r>
          </w:p>
        </w:tc>
        <w:tc>
          <w:tcPr>
            <w:tcW w:type="dxa" w:w="2337"/>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Constancia de participación, cuando sea relevante para el legajo del alumno</w:t>
            </w:r>
          </w:p>
        </w:tc>
      </w:tr>
    </w:tbl>
    <w:p>
      <w:pPr>
        <w:spacing w:after="200"/>
      </w:pPr>
    </w:p>
    <w:p>
      <w:pPr>
        <w:pStyle w:val="Heading2"/>
        <w:spacing w:after="160" w:before="320"/>
      </w:pPr>
      <w:r>
        <w:rPr>
          <w:b/>
          <w:bCs/>
          <w:color w:val="1F3864"/>
        </w:rPr>
        <w:t xml:space="preserve">12.4 El ideario institucional en las decisiones administrativas</w:t>
      </w:r>
    </w:p>
    <w:p>
      <w:pPr>
        <w:spacing w:after="160" w:line="300"/>
        <w:jc w:val="both"/>
      </w:pPr>
      <w:r>
        <w:rPr>
          <w:b w:val="false"/>
          <w:bCs w:val="false"/>
          <w:color w:val="262626"/>
          <w:sz w:val="21"/>
          <w:szCs w:val="21"/>
        </w:rPr>
        <w:t xml:space="preserve">Toda decisión administrativa sensible (admisión en casos límite, régimen de convivencia, comunicación institucional en situaciones de crisis, contratación de personal para roles de conducción) debe evaluarse también a la luz del ideario institucional, con participación de Dirección General y, cuando corresponda, del Asesor/a Pastoral, dejando constancia escrita del criterio aplicado.</w:t>
      </w:r>
    </w:p>
    <w:p>
      <w:pPr>
        <w:pStyle w:val="Heading1"/>
        <w:pageBreakBefore/>
        <w:pBdr>
          <w:bottom w:val="single" w:color="1F3864" w:sz="12" w:space="8"/>
        </w:pBdr>
        <w:spacing w:after="240" w:before="0"/>
      </w:pPr>
      <w:r>
        <w:rPr>
          <w:b/>
          <w:bCs/>
          <w:color w:val="1F3864"/>
        </w:rPr>
        <w:t xml:space="preserve">CAPÍTULO 13 — GESTIÓN DOCUMENTAL, ARCHIVO Y PROTECCIÓN DE DATOS PERSONALES</w:t>
      </w:r>
    </w:p>
    <w:p>
      <w:pPr>
        <w:pStyle w:val="Heading2"/>
        <w:spacing w:after="160" w:before="320"/>
      </w:pPr>
      <w:r>
        <w:rPr>
          <w:b/>
          <w:bCs/>
          <w:color w:val="1F3864"/>
        </w:rPr>
        <w:t xml:space="preserve">13.1 Política de archivo</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3116"/>
        <w:gridCol w:w="3116"/>
        <w:gridCol w:w="3116"/>
      </w:tblGrid>
      <w:tr>
        <w:trPr>
          <w:tblHeader/>
        </w:trPr>
        <w:tc>
          <w:tcPr>
            <w:tcW w:type="dxa" w:w="3116"/>
            <w:shd w:fill="1F3864" w:color="auto" w:val="clear"/>
            <w:tcMar>
              <w:top w:type="dxa" w:w="80"/>
              <w:left w:type="dxa" w:w="100"/>
              <w:bottom w:type="dxa" w:w="80"/>
              <w:right w:type="dxa" w:w="100"/>
            </w:tcMar>
            <w:vAlign w:val="center"/>
          </w:tcPr>
          <w:p>
            <w:r>
              <w:rPr>
                <w:b/>
                <w:bCs/>
                <w:color w:val="FFFFFF"/>
                <w:sz w:val="18"/>
                <w:szCs w:val="18"/>
              </w:rPr>
              <w:t xml:space="preserve">Tipo de documento</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Plazo de guarda sugerido</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Responsable de custodia</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Libro Matriz</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Permanente</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Legajo de alumno (versión resumida tras el egreso)</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Mínimo 10 años desde el egreso [Probable — verificar plazo exacto exigido por la jurisdicción]</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Actas de calificación</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Permanente</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Secretaría Académica</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Legajo de personal</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Hasta 10 años desde la desvinculación (plazo de prescripción laboral y previsional)</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Recursos Humanos</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Documentación impositiva y contable</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10 años (plazo genérico de prescripción fiscal; verificar con el estudio contable el plazo vigente)</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Comprobantes de caja chica y rendiciones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10 años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Actas de Comité de Seguridad e Higiene y simulacros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5 años</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Correspondencia administrativa general</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5 años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Secretaría</w:t>
            </w:r>
          </w:p>
        </w:tc>
      </w:tr>
    </w:tbl>
    <w:p>
      <w:pPr>
        <w:spacing w:after="200"/>
      </w:pPr>
    </w:p>
    <w:p>
      <w:pPr>
        <w:pBdr>
          <w:left w:val="single" w:color="9C7A24" w:sz="18" w:space="8"/>
        </w:pBdr>
        <w:shd w:fill="FBF6EC" w:color="auto" w:val="clear"/>
        <w:spacing w:after="120" w:before="120"/>
        <w:ind w:left="360"/>
      </w:pPr>
      <w:r>
        <w:rPr>
          <w:i/>
          <w:iCs/>
          <w:color w:val="595959"/>
          <w:sz w:val="20"/>
          <w:szCs w:val="20"/>
        </w:rPr>
        <w:t xml:space="preserve">[Suponiendo] Los plazos anteriores son de referencia general y deben cotejarse con la normativa fiscal, laboral y educativa específica vigente al momento de aplicarse, ya que algunos plazos de prescripción pueden variar.</w:t>
      </w:r>
    </w:p>
    <w:p>
      <w:pPr>
        <w:pStyle w:val="Heading2"/>
        <w:spacing w:after="160" w:before="320"/>
      </w:pPr>
      <w:r>
        <w:rPr>
          <w:b/>
          <w:bCs/>
          <w:color w:val="1F3864"/>
        </w:rPr>
        <w:t xml:space="preserve">13.2 Digitalización y resguardo</w:t>
      </w:r>
    </w:p>
    <w:p>
      <w:pPr>
        <w:spacing w:after="160" w:line="300"/>
        <w:jc w:val="both"/>
      </w:pPr>
      <w:r>
        <w:rPr>
          <w:b w:val="false"/>
          <w:bCs w:val="false"/>
          <w:color w:val="262626"/>
          <w:sz w:val="21"/>
          <w:szCs w:val="21"/>
        </w:rPr>
        <w:t xml:space="preserve">Se recomienda digitalizar y respaldar en un sistema con copias de seguridad (backup) periódicas toda la documentación crítica, sin que ello reemplace la guarda de los originales cuya conservación física exija la normativa (Libro Matriz, libros rubricados). El acceso a los archivos digitales debe estar protegido por usuario y contraseña individual, con niveles de acceso diferenciados según rol.</w:t>
      </w:r>
    </w:p>
    <w:p>
      <w:pPr>
        <w:pStyle w:val="Heading2"/>
        <w:spacing w:after="160" w:before="320"/>
      </w:pPr>
      <w:r>
        <w:rPr>
          <w:b/>
          <w:bCs/>
          <w:color w:val="1F3864"/>
        </w:rPr>
        <w:t xml:space="preserve">13.3 Protección de datos personales</w:t>
      </w:r>
    </w:p>
    <w:p>
      <w:pPr>
        <w:spacing w:after="160" w:line="300"/>
        <w:jc w:val="both"/>
      </w:pPr>
      <w:r>
        <w:rPr>
          <w:b w:val="false"/>
          <w:bCs w:val="false"/>
          <w:color w:val="262626"/>
          <w:sz w:val="21"/>
          <w:szCs w:val="21"/>
        </w:rPr>
        <w:t xml:space="preserve">El colegio trata datos personales de alumnos, familias y personal, incluyendo datos sensibles (salud, en algunos casos religión o afiliación gremial), por lo que está alcanzado por la Ley N° 25.326 de Protección de los Datos Personales y por el contralor de la Agencia de Acceso a la Información Pública. En consecuencia:</w:t>
      </w:r>
    </w:p>
    <w:p>
      <w:pPr>
        <w:pStyle w:val="ListParagraph"/>
        <w:numPr>
          <w:ilvl w:val="0"/>
          <w:numId w:val="1"/>
        </w:numPr>
        <w:spacing w:after="60"/>
      </w:pPr>
      <w:r>
        <w:rPr>
          <w:b w:val="false"/>
          <w:bCs w:val="false"/>
          <w:color w:val="262626"/>
          <w:sz w:val="21"/>
          <w:szCs w:val="21"/>
        </w:rPr>
        <w:t xml:space="preserve">Debe obtenerse consentimiento informado de la familia para el tratamiento de datos que exceda lo estrictamente necesario para la prestación del servicio educativo (por ejemplo, uso de imagen del alumno/a en redes institucionales o página web).</w:t>
      </w:r>
    </w:p>
    <w:p>
      <w:pPr>
        <w:pStyle w:val="ListParagraph"/>
        <w:numPr>
          <w:ilvl w:val="0"/>
          <w:numId w:val="1"/>
        </w:numPr>
        <w:spacing w:after="60"/>
      </w:pPr>
      <w:r>
        <w:rPr>
          <w:b w:val="false"/>
          <w:bCs w:val="false"/>
          <w:color w:val="262626"/>
          <w:sz w:val="21"/>
          <w:szCs w:val="21"/>
        </w:rPr>
        <w:t xml:space="preserve">El acceso a los datos debe limitarse a quienes lo necesiten por su función (principio de necesidad de conocer).</w:t>
      </w:r>
    </w:p>
    <w:p>
      <w:pPr>
        <w:pStyle w:val="ListParagraph"/>
        <w:numPr>
          <w:ilvl w:val="0"/>
          <w:numId w:val="1"/>
        </w:numPr>
        <w:spacing w:after="60"/>
      </w:pPr>
      <w:r>
        <w:rPr>
          <w:b w:val="false"/>
          <w:bCs w:val="false"/>
          <w:color w:val="262626"/>
          <w:sz w:val="21"/>
          <w:szCs w:val="21"/>
        </w:rPr>
        <w:t xml:space="preserve">Ante la salida de información del colegio (por ejemplo, pases a otro establecimiento), debe remitirse únicamente la documentación pertinente y por los canales oficiales.</w:t>
      </w:r>
    </w:p>
    <w:p>
      <w:pPr>
        <w:pStyle w:val="ListParagraph"/>
        <w:numPr>
          <w:ilvl w:val="0"/>
          <w:numId w:val="1"/>
        </w:numPr>
        <w:spacing w:after="60"/>
      </w:pPr>
      <w:r>
        <w:rPr>
          <w:b w:val="false"/>
          <w:bCs w:val="false"/>
          <w:color w:val="262626"/>
          <w:sz w:val="21"/>
          <w:szCs w:val="21"/>
        </w:rPr>
        <w:t xml:space="preserve">Se recomienda designar un/a responsable interno de protección de datos, aun cuando la normativa no exija una figura formal equivalente al "Data Protection Officer" de otras legislaciones.</w:t>
      </w:r>
    </w:p>
    <w:p>
      <w:pPr>
        <w:pStyle w:val="Heading1"/>
        <w:pageBreakBefore/>
        <w:pBdr>
          <w:bottom w:val="single" w:color="1F3864" w:sz="12" w:space="8"/>
        </w:pBdr>
        <w:spacing w:after="240" w:before="0"/>
      </w:pPr>
      <w:r>
        <w:rPr>
          <w:b/>
          <w:bCs/>
          <w:color w:val="1F3864"/>
        </w:rPr>
        <w:t xml:space="preserve">CAPÍTULO 14 — GOBIERNO DE CRISIS Y CONTINUIDAD INSTITUCIONAL</w:t>
      </w:r>
    </w:p>
    <w:p>
      <w:pPr>
        <w:pStyle w:val="Heading2"/>
        <w:spacing w:after="160" w:before="320"/>
      </w:pPr>
      <w:r>
        <w:rPr>
          <w:b/>
          <w:bCs/>
          <w:color w:val="1F3864"/>
        </w:rPr>
        <w:t xml:space="preserve">14.1 Comunicación en situaciones de crisis</w:t>
      </w:r>
    </w:p>
    <w:p>
      <w:pPr>
        <w:spacing w:after="160" w:line="300"/>
        <w:jc w:val="both"/>
      </w:pPr>
      <w:r>
        <w:rPr>
          <w:b w:val="false"/>
          <w:bCs w:val="false"/>
          <w:color w:val="262626"/>
          <w:sz w:val="21"/>
          <w:szCs w:val="21"/>
        </w:rPr>
        <w:t xml:space="preserve">Ante un evento crítico (accidente grave, situación de público conocimiento, emergencia sanitaria o climática), Dirección General centraliza la comunicación oficial hacia las familias, el personal y, si correspondiera, la prensa, evitando comunicaciones paralelas no autorizadas. Se recomienda un protocolo breve y ya redactado de "primeras 2 horas" con roles predefinidos (quién comunica, quién informa a la autoridad educativa, quién informa a la Entidad Propietaria).</w:t>
      </w:r>
    </w:p>
    <w:p>
      <w:pPr>
        <w:pStyle w:val="Heading2"/>
        <w:spacing w:after="160" w:before="320"/>
      </w:pPr>
      <w:r>
        <w:rPr>
          <w:b/>
          <w:bCs/>
          <w:color w:val="1F3864"/>
        </w:rPr>
        <w:t xml:space="preserve">14.2 Continuidad pedagógica y administrativa</w:t>
      </w:r>
    </w:p>
    <w:p>
      <w:pPr>
        <w:spacing w:after="160" w:line="300"/>
        <w:jc w:val="both"/>
      </w:pPr>
      <w:r>
        <w:rPr>
          <w:b w:val="false"/>
          <w:bCs w:val="false"/>
          <w:color w:val="262626"/>
          <w:sz w:val="21"/>
          <w:szCs w:val="21"/>
        </w:rPr>
        <w:t xml:space="preserve">Ante la imposibilidad de dictar clases presenciales (emergencia climática, sanitaria o edilicia), el colegio debe contar con un protocolo mínimo de continuidad pedagógica (modalidad remota o mixta) y de continuidad administrativa (acceso remoto a legajos digitales, cobranza, comunicación con familias), revisado al menos una vez al año.</w:t>
      </w:r>
    </w:p>
    <w:p>
      <w:pPr>
        <w:pStyle w:val="Heading1"/>
        <w:pageBreakBefore/>
        <w:pBdr>
          <w:bottom w:val="single" w:color="1F3864" w:sz="12" w:space="8"/>
        </w:pBdr>
        <w:spacing w:after="240" w:before="0"/>
      </w:pPr>
      <w:r>
        <w:rPr>
          <w:b/>
          <w:bCs/>
          <w:color w:val="1F3864"/>
        </w:rPr>
        <w:t xml:space="preserve">CAPÍTULO 15 — REVISIÓN, ACTUALIZACIÓN Y VIGENCIA DEL MANUAL</w:t>
      </w:r>
    </w:p>
    <w:p>
      <w:pPr>
        <w:pStyle w:val="Heading2"/>
        <w:spacing w:after="160" w:before="320"/>
      </w:pPr>
      <w:r>
        <w:rPr>
          <w:b/>
          <w:bCs/>
          <w:color w:val="1F3864"/>
        </w:rPr>
        <w:t xml:space="preserve">15.1 Periodicidad de revisión</w:t>
      </w:r>
    </w:p>
    <w:p>
      <w:pPr>
        <w:spacing w:after="160" w:line="300"/>
        <w:jc w:val="both"/>
      </w:pPr>
      <w:r>
        <w:rPr>
          <w:b w:val="false"/>
          <w:bCs w:val="false"/>
          <w:color w:val="262626"/>
          <w:sz w:val="21"/>
          <w:szCs w:val="21"/>
        </w:rPr>
        <w:t xml:space="preserve">Este Manual debe revisarse como mínimo una vez al año, antes del inicio del ciclo lectivo, y cada vez que se modifique la normativa educativa, laboral, impositiva o de protección de datos que le sirve de fundamento, o que cambie la estructura organizativa del colegio.</w:t>
      </w:r>
    </w:p>
    <w:p>
      <w:pPr>
        <w:pStyle w:val="Heading2"/>
        <w:spacing w:after="160" w:before="320"/>
      </w:pPr>
      <w:r>
        <w:rPr>
          <w:b/>
          <w:bCs/>
          <w:color w:val="1F3864"/>
        </w:rPr>
        <w:t xml:space="preserve">15.2 Procedimiento de modificación</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3116"/>
        <w:gridCol w:w="3116"/>
        <w:gridCol w:w="3116"/>
      </w:tblGrid>
      <w:tr>
        <w:trPr>
          <w:tblHeader/>
        </w:trPr>
        <w:tc>
          <w:tcPr>
            <w:tcW w:type="dxa" w:w="3116"/>
            <w:shd w:fill="1F3864" w:color="auto" w:val="clear"/>
            <w:tcMar>
              <w:top w:type="dxa" w:w="80"/>
              <w:left w:type="dxa" w:w="100"/>
              <w:bottom w:type="dxa" w:w="80"/>
              <w:right w:type="dxa" w:w="100"/>
            </w:tcMar>
            <w:vAlign w:val="center"/>
          </w:tcPr>
          <w:p>
            <w:r>
              <w:rPr>
                <w:b/>
                <w:bCs/>
                <w:color w:val="FFFFFF"/>
                <w:sz w:val="18"/>
                <w:szCs w:val="18"/>
              </w:rPr>
              <w:t xml:space="preserve">N°</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Etapa</w:t>
            </w:r>
          </w:p>
        </w:tc>
        <w:tc>
          <w:tcPr>
            <w:tcW w:type="dxa" w:w="3116"/>
            <w:shd w:fill="1F3864" w:color="auto" w:val="clear"/>
            <w:tcMar>
              <w:top w:type="dxa" w:w="80"/>
              <w:left w:type="dxa" w:w="100"/>
              <w:bottom w:type="dxa" w:w="80"/>
              <w:right w:type="dxa" w:w="100"/>
            </w:tcMar>
            <w:vAlign w:val="center"/>
          </w:tcPr>
          <w:p>
            <w:r>
              <w:rPr>
                <w:b/>
                <w:bCs/>
                <w:color w:val="FFFFFF"/>
                <w:sz w:val="18"/>
                <w:szCs w:val="18"/>
              </w:rPr>
              <w:t xml:space="preserve">Responsable</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1</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Propuesta de modificación</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Cualquier área, elevada a Dirección General</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2</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Evaluación de impacto normativo</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 con asesoría legal/contable externa</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3</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Aprobación</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Dirección General y Entidad Propietaria</w:t>
            </w:r>
          </w:p>
        </w:tc>
      </w:tr>
      <w:tr>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4</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Actualización del control de versiones</w:t>
            </w:r>
          </w:p>
        </w:tc>
        <w:tc>
          <w:tcPr>
            <w:tcW w:type="dxa" w:w="3116"/>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Administración</w:t>
            </w:r>
          </w:p>
        </w:tc>
      </w:tr>
      <w:tr>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5</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Difusión y capacitación</w:t>
            </w:r>
          </w:p>
        </w:tc>
        <w:tc>
          <w:tcPr>
            <w:tcW w:type="dxa" w:w="3116"/>
            <w:tcMar>
              <w:top w:type="dxa" w:w="70"/>
              <w:left w:type="dxa" w:w="100"/>
              <w:bottom w:type="dxa" w:w="70"/>
              <w:right w:type="dxa" w:w="100"/>
            </w:tcMar>
            <w:vAlign w:val="center"/>
          </w:tcPr>
          <w:p>
            <w:pPr>
              <w:spacing w:after="0"/>
            </w:pPr>
            <w:r>
              <w:rPr>
                <w:b w:val="false"/>
                <w:bCs w:val="false"/>
                <w:color w:val="262626"/>
                <w:sz w:val="21"/>
                <w:szCs w:val="21"/>
              </w:rPr>
              <w:t xml:space="preserve">RRHH / Dirección de Nivel</w:t>
            </w:r>
          </w:p>
        </w:tc>
      </w:tr>
    </w:tbl>
    <w:p>
      <w:pPr>
        <w:spacing w:after="200"/>
      </w:pPr>
    </w:p>
    <w:p>
      <w:pPr>
        <w:pStyle w:val="Heading2"/>
        <w:spacing w:after="160" w:before="320"/>
      </w:pPr>
      <w:r>
        <w:rPr>
          <w:b/>
          <w:bCs/>
          <w:color w:val="1F3864"/>
        </w:rPr>
        <w:t xml:space="preserve">15.3 Difusión y capacitación del personal</w:t>
      </w:r>
    </w:p>
    <w:p>
      <w:pPr>
        <w:spacing w:after="160" w:line="300"/>
        <w:jc w:val="both"/>
      </w:pPr>
      <w:r>
        <w:rPr>
          <w:b w:val="false"/>
          <w:bCs w:val="false"/>
          <w:color w:val="262626"/>
          <w:sz w:val="21"/>
          <w:szCs w:val="21"/>
        </w:rPr>
        <w:t xml:space="preserve">Toda nueva versión del Manual debe comunicarse formalmente a todo el personal, con constancia de recepción (firma física o digital), e incorporarse al proceso de inducción de nuevos ingresos descripto en el Capítulo 6.</w:t>
      </w:r>
    </w:p>
    <w:p>
      <w:pPr>
        <w:pStyle w:val="Heading1"/>
        <w:pageBreakBefore/>
        <w:pBdr>
          <w:bottom w:val="single" w:color="1F3864" w:sz="12" w:space="8"/>
        </w:pBdr>
        <w:spacing w:after="240" w:before="0"/>
      </w:pPr>
      <w:r>
        <w:rPr>
          <w:b/>
          <w:bCs/>
          <w:color w:val="1F3864"/>
        </w:rPr>
        <w:t xml:space="preserve">ANEXO A — GLOSARIO DE TÉRMINOS Y SIGLAS</w:t>
      </w:r>
    </w:p>
    <w:p>
      <w:pPr>
        <w:pStyle w:val="ListParagraph"/>
        <w:numPr>
          <w:ilvl w:val="0"/>
          <w:numId w:val="1"/>
        </w:numPr>
        <w:spacing w:after="60"/>
      </w:pPr>
      <w:r>
        <w:rPr>
          <w:b/>
          <w:bCs/>
          <w:color w:val="262626"/>
          <w:sz w:val="21"/>
          <w:szCs w:val="21"/>
        </w:rPr>
        <w:t xml:space="preserve">ARCA:</w:t>
      </w:r>
      <w:r>
        <w:rPr>
          <w:b w:val="false"/>
          <w:bCs w:val="false"/>
          <w:color w:val="262626"/>
          <w:sz w:val="21"/>
          <w:szCs w:val="21"/>
        </w:rPr>
        <w:t xml:space="preserve"> Agencia de Recaudación y Control Aduanero (organismo nacional que reemplazó a la AFIP desde octubre de 2024).</w:t>
      </w:r>
    </w:p>
    <w:p>
      <w:pPr>
        <w:pStyle w:val="ListParagraph"/>
        <w:numPr>
          <w:ilvl w:val="0"/>
          <w:numId w:val="1"/>
        </w:numPr>
        <w:spacing w:after="60"/>
      </w:pPr>
      <w:r>
        <w:rPr>
          <w:b/>
          <w:bCs/>
          <w:color w:val="262626"/>
          <w:sz w:val="21"/>
          <w:szCs w:val="21"/>
        </w:rPr>
        <w:t xml:space="preserve">ART:</w:t>
      </w:r>
      <w:r>
        <w:rPr>
          <w:b w:val="false"/>
          <w:bCs w:val="false"/>
          <w:color w:val="262626"/>
          <w:sz w:val="21"/>
          <w:szCs w:val="21"/>
        </w:rPr>
        <w:t xml:space="preserve"> Aseguradora de Riesgos del Trabajo.</w:t>
      </w:r>
    </w:p>
    <w:p>
      <w:pPr>
        <w:pStyle w:val="ListParagraph"/>
        <w:numPr>
          <w:ilvl w:val="0"/>
          <w:numId w:val="1"/>
        </w:numPr>
        <w:spacing w:after="60"/>
      </w:pPr>
      <w:r>
        <w:rPr>
          <w:b/>
          <w:bCs/>
          <w:color w:val="262626"/>
          <w:sz w:val="21"/>
          <w:szCs w:val="21"/>
        </w:rPr>
        <w:t xml:space="preserve">CCT:</w:t>
      </w:r>
      <w:r>
        <w:rPr>
          <w:b w:val="false"/>
          <w:bCs w:val="false"/>
          <w:color w:val="262626"/>
          <w:sz w:val="21"/>
          <w:szCs w:val="21"/>
        </w:rPr>
        <w:t xml:space="preserve"> Convenio Colectivo de Trabajo.</w:t>
      </w:r>
    </w:p>
    <w:p>
      <w:pPr>
        <w:pStyle w:val="ListParagraph"/>
        <w:numPr>
          <w:ilvl w:val="0"/>
          <w:numId w:val="1"/>
        </w:numPr>
        <w:spacing w:after="60"/>
      </w:pPr>
      <w:r>
        <w:rPr>
          <w:b/>
          <w:bCs/>
          <w:color w:val="262626"/>
          <w:sz w:val="21"/>
          <w:szCs w:val="21"/>
        </w:rPr>
        <w:t xml:space="preserve">CUE/CUI:</w:t>
      </w:r>
      <w:r>
        <w:rPr>
          <w:b w:val="false"/>
          <w:bCs w:val="false"/>
          <w:color w:val="262626"/>
          <w:sz w:val="21"/>
          <w:szCs w:val="21"/>
        </w:rPr>
        <w:t xml:space="preserve"> Clave Única de Establecimiento/Institución.</w:t>
      </w:r>
    </w:p>
    <w:p>
      <w:pPr>
        <w:pStyle w:val="ListParagraph"/>
        <w:numPr>
          <w:ilvl w:val="0"/>
          <w:numId w:val="1"/>
        </w:numPr>
        <w:spacing w:after="60"/>
      </w:pPr>
      <w:r>
        <w:rPr>
          <w:b/>
          <w:bCs/>
          <w:color w:val="262626"/>
          <w:sz w:val="21"/>
          <w:szCs w:val="21"/>
        </w:rPr>
        <w:t xml:space="preserve">DIPREGEP:</w:t>
      </w:r>
      <w:r>
        <w:rPr>
          <w:b w:val="false"/>
          <w:bCs w:val="false"/>
          <w:color w:val="262626"/>
          <w:sz w:val="21"/>
          <w:szCs w:val="21"/>
        </w:rPr>
        <w:t xml:space="preserve"> Dirección Provincial de Educación de Gestión Privada (denominación de la Provincia de Buenos Aires; cada jurisdicción tiene su propio organismo homólogo).</w:t>
      </w:r>
    </w:p>
    <w:p>
      <w:pPr>
        <w:pStyle w:val="ListParagraph"/>
        <w:numPr>
          <w:ilvl w:val="0"/>
          <w:numId w:val="1"/>
        </w:numPr>
        <w:spacing w:after="60"/>
      </w:pPr>
      <w:r>
        <w:rPr>
          <w:b/>
          <w:bCs/>
          <w:color w:val="262626"/>
          <w:sz w:val="21"/>
          <w:szCs w:val="21"/>
        </w:rPr>
        <w:t xml:space="preserve">LCT:</w:t>
      </w:r>
      <w:r>
        <w:rPr>
          <w:b w:val="false"/>
          <w:bCs w:val="false"/>
          <w:color w:val="262626"/>
          <w:sz w:val="21"/>
          <w:szCs w:val="21"/>
        </w:rPr>
        <w:t xml:space="preserve"> Ley de Contrato de Trabajo (Ley N° 20.744).</w:t>
      </w:r>
    </w:p>
    <w:p>
      <w:pPr>
        <w:pStyle w:val="ListParagraph"/>
        <w:numPr>
          <w:ilvl w:val="0"/>
          <w:numId w:val="1"/>
        </w:numPr>
        <w:spacing w:after="60"/>
      </w:pPr>
      <w:r>
        <w:rPr>
          <w:b/>
          <w:bCs/>
          <w:color w:val="262626"/>
          <w:sz w:val="21"/>
          <w:szCs w:val="21"/>
        </w:rPr>
        <w:t xml:space="preserve">PEI:</w:t>
      </w:r>
      <w:r>
        <w:rPr>
          <w:b w:val="false"/>
          <w:bCs w:val="false"/>
          <w:color w:val="262626"/>
          <w:sz w:val="21"/>
          <w:szCs w:val="21"/>
        </w:rPr>
        <w:t xml:space="preserve"> Proyecto Educativo Institucional.</w:t>
      </w:r>
    </w:p>
    <w:p>
      <w:pPr>
        <w:pStyle w:val="ListParagraph"/>
        <w:numPr>
          <w:ilvl w:val="0"/>
          <w:numId w:val="1"/>
        </w:numPr>
        <w:spacing w:after="60"/>
      </w:pPr>
      <w:r>
        <w:rPr>
          <w:b/>
          <w:bCs/>
          <w:color w:val="262626"/>
          <w:sz w:val="21"/>
          <w:szCs w:val="21"/>
        </w:rPr>
        <w:t xml:space="preserve">SADOP:</w:t>
      </w:r>
      <w:r>
        <w:rPr>
          <w:b w:val="false"/>
          <w:bCs w:val="false"/>
          <w:color w:val="262626"/>
          <w:sz w:val="21"/>
          <w:szCs w:val="21"/>
        </w:rPr>
        <w:t xml:space="preserve"> Sindicato Argentino de Docentes Particulares.</w:t>
      </w:r>
    </w:p>
    <w:p>
      <w:pPr>
        <w:pStyle w:val="Heading1"/>
        <w:pageBreakBefore/>
        <w:pBdr>
          <w:bottom w:val="single" w:color="1F3864" w:sz="12" w:space="8"/>
        </w:pBdr>
        <w:spacing w:after="240" w:before="0"/>
      </w:pPr>
      <w:r>
        <w:rPr>
          <w:b/>
          <w:bCs/>
          <w:color w:val="1F3864"/>
        </w:rPr>
        <w:t xml:space="preserve">ANEXO B — MODELOS DE FORMULARIOS DE REFERENCIA</w:t>
      </w:r>
    </w:p>
    <w:p>
      <w:pPr>
        <w:spacing w:after="160" w:line="300"/>
        <w:jc w:val="both"/>
      </w:pPr>
      <w:r>
        <w:rPr>
          <w:b w:val="false"/>
          <w:bCs w:val="false"/>
          <w:color w:val="262626"/>
          <w:sz w:val="21"/>
          <w:szCs w:val="21"/>
        </w:rPr>
        <w:t xml:space="preserve">Los siguientes formularios deben adaptarse al diseño institucional del colegio (membrete, logo, datos de CUE) antes de su uso.</w:t>
      </w:r>
    </w:p>
    <w:p>
      <w:pPr>
        <w:pStyle w:val="Heading2"/>
        <w:spacing w:after="160" w:before="320"/>
      </w:pPr>
      <w:r>
        <w:rPr>
          <w:b/>
          <w:bCs/>
          <w:color w:val="1F3864"/>
        </w:rPr>
        <w:t xml:space="preserve">B.1 Ficha de preinscripción</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4675"/>
        <w:gridCol w:w="4675"/>
      </w:tblGrid>
      <w:tr>
        <w:trPr>
          <w:tblHeader/>
        </w:trPr>
        <w:tc>
          <w:tcPr>
            <w:tcW w:type="dxa" w:w="4675"/>
            <w:shd w:fill="1F3864" w:color="auto" w:val="clear"/>
            <w:tcMar>
              <w:top w:type="dxa" w:w="80"/>
              <w:left w:type="dxa" w:w="100"/>
              <w:bottom w:type="dxa" w:w="80"/>
              <w:right w:type="dxa" w:w="100"/>
            </w:tcMar>
            <w:vAlign w:val="center"/>
          </w:tcPr>
          <w:p>
            <w:r>
              <w:rPr>
                <w:b/>
                <w:bCs/>
                <w:color w:val="FFFFFF"/>
                <w:sz w:val="18"/>
                <w:szCs w:val="18"/>
              </w:rPr>
              <w:t xml:space="preserve">Campo</w:t>
            </w:r>
          </w:p>
        </w:tc>
        <w:tc>
          <w:tcPr>
            <w:tcW w:type="dxa" w:w="4675"/>
            <w:shd w:fill="1F3864" w:color="auto" w:val="clear"/>
            <w:tcMar>
              <w:top w:type="dxa" w:w="80"/>
              <w:left w:type="dxa" w:w="100"/>
              <w:bottom w:type="dxa" w:w="80"/>
              <w:right w:type="dxa" w:w="100"/>
            </w:tcMar>
            <w:vAlign w:val="center"/>
          </w:tcPr>
          <w:p>
            <w:r>
              <w:rPr>
                <w:b/>
                <w:bCs/>
                <w:color w:val="FFFFFF"/>
                <w:sz w:val="18"/>
                <w:szCs w:val="18"/>
              </w:rPr>
              <w:t xml:space="preserve">Detalle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Datos del alumno/a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Apellido y nombre, DNI, fecha de nacimiento, sección a la que aspira</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Datos de la familia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Apellido y nombre de padres/madres/tutores, DNI, teléfono, correo electrónico</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Colegio de procedencia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Nombre, localidad, motivo del cambio</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 y aclaración del responsable que presenta la solicitud, con fecha</w:t>
            </w:r>
          </w:p>
        </w:tc>
      </w:tr>
    </w:tbl>
    <w:p>
      <w:pPr>
        <w:spacing w:after="200"/>
      </w:pPr>
    </w:p>
    <w:p>
      <w:pPr>
        <w:pStyle w:val="Heading2"/>
        <w:spacing w:after="160" w:before="320"/>
      </w:pPr>
      <w:r>
        <w:rPr>
          <w:b/>
          <w:bCs/>
          <w:color w:val="1F3864"/>
        </w:rPr>
        <w:t xml:space="preserve">B.2 Solicitud de licencia (personal)</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4675"/>
        <w:gridCol w:w="4675"/>
      </w:tblGrid>
      <w:tr>
        <w:trPr>
          <w:tblHeader/>
        </w:trPr>
        <w:tc>
          <w:tcPr>
            <w:tcW w:type="dxa" w:w="4675"/>
            <w:shd w:fill="1F3864" w:color="auto" w:val="clear"/>
            <w:tcMar>
              <w:top w:type="dxa" w:w="80"/>
              <w:left w:type="dxa" w:w="100"/>
              <w:bottom w:type="dxa" w:w="80"/>
              <w:right w:type="dxa" w:w="100"/>
            </w:tcMar>
            <w:vAlign w:val="center"/>
          </w:tcPr>
          <w:p>
            <w:r>
              <w:rPr>
                <w:b/>
                <w:bCs/>
                <w:color w:val="FFFFFF"/>
                <w:sz w:val="18"/>
                <w:szCs w:val="18"/>
              </w:rPr>
              <w:t xml:space="preserve">Campo</w:t>
            </w:r>
          </w:p>
        </w:tc>
        <w:tc>
          <w:tcPr>
            <w:tcW w:type="dxa" w:w="4675"/>
            <w:shd w:fill="1F3864" w:color="auto" w:val="clear"/>
            <w:tcMar>
              <w:top w:type="dxa" w:w="80"/>
              <w:left w:type="dxa" w:w="100"/>
              <w:bottom w:type="dxa" w:w="80"/>
              <w:right w:type="dxa" w:w="100"/>
            </w:tcMar>
            <w:vAlign w:val="center"/>
          </w:tcPr>
          <w:p>
            <w:r>
              <w:rPr>
                <w:b/>
                <w:bCs/>
                <w:color w:val="FFFFFF"/>
                <w:sz w:val="18"/>
                <w:szCs w:val="18"/>
              </w:rPr>
              <w:t xml:space="preserve">Detalle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Datos del solicitante</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Apellido y nombre, cargo, sección/nivel</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Tipo de licencia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Según Estatuto del Docente / LCT aplicable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Período solicitado</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Fecha de inicio y fin</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Documentación adjunta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Certificado médico u otra que corresponda</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Firmas</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Solicitante, RRHH, Dirección</w:t>
            </w:r>
          </w:p>
        </w:tc>
      </w:tr>
    </w:tbl>
    <w:p>
      <w:pPr>
        <w:spacing w:after="200"/>
      </w:pPr>
    </w:p>
    <w:p>
      <w:pPr>
        <w:pStyle w:val="Heading2"/>
        <w:spacing w:after="160" w:before="320"/>
      </w:pPr>
      <w:r>
        <w:rPr>
          <w:b/>
          <w:bCs/>
          <w:color w:val="1F3864"/>
        </w:rPr>
        <w:t xml:space="preserve">B.3 Planilla de rendición de caja chica</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1870"/>
        <w:gridCol w:w="1870"/>
        <w:gridCol w:w="1870"/>
        <w:gridCol w:w="1870"/>
        <w:gridCol w:w="1870"/>
      </w:tblGrid>
      <w:tr>
        <w:trPr>
          <w:tblHeader/>
        </w:trPr>
        <w:tc>
          <w:tcPr>
            <w:tcW w:type="dxa" w:w="1870"/>
            <w:shd w:fill="1F3864" w:color="auto" w:val="clear"/>
            <w:tcMar>
              <w:top w:type="dxa" w:w="80"/>
              <w:left w:type="dxa" w:w="100"/>
              <w:bottom w:type="dxa" w:w="80"/>
              <w:right w:type="dxa" w:w="100"/>
            </w:tcMar>
            <w:vAlign w:val="center"/>
          </w:tcPr>
          <w:p>
            <w:r>
              <w:rPr>
                <w:b/>
                <w:bCs/>
                <w:color w:val="FFFFFF"/>
                <w:sz w:val="18"/>
                <w:szCs w:val="18"/>
              </w:rPr>
              <w:t xml:space="preserve">Fecha</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Concepto</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N° de comprobante</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Monto</w:t>
            </w:r>
          </w:p>
        </w:tc>
        <w:tc>
          <w:tcPr>
            <w:tcW w:type="dxa" w:w="1870"/>
            <w:shd w:fill="1F3864" w:color="auto" w:val="clear"/>
            <w:tcMar>
              <w:top w:type="dxa" w:w="80"/>
              <w:left w:type="dxa" w:w="100"/>
              <w:bottom w:type="dxa" w:w="80"/>
              <w:right w:type="dxa" w:w="100"/>
            </w:tcMar>
            <w:vAlign w:val="center"/>
          </w:tcPr>
          <w:p>
            <w:r>
              <w:rPr>
                <w:b/>
                <w:bCs/>
                <w:color w:val="FFFFFF"/>
                <w:sz w:val="18"/>
                <w:szCs w:val="18"/>
              </w:rPr>
              <w:t xml:space="preserve">Firma responsable</w:t>
            </w:r>
          </w:p>
        </w:tc>
      </w:tr>
    </w:tbl>
    <w:p>
      <w:pPr>
        <w:spacing w:after="200"/>
      </w:pPr>
    </w:p>
    <w:p>
      <w:pPr>
        <w:pStyle w:val="Heading2"/>
        <w:spacing w:after="160" w:before="320"/>
      </w:pPr>
      <w:r>
        <w:rPr>
          <w:b/>
          <w:bCs/>
          <w:color w:val="1F3864"/>
        </w:rPr>
        <w:t xml:space="preserve">B.4 Orden de compra</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4675"/>
        <w:gridCol w:w="4675"/>
      </w:tblGrid>
      <w:tr>
        <w:trPr>
          <w:tblHeader/>
        </w:trPr>
        <w:tc>
          <w:tcPr>
            <w:tcW w:type="dxa" w:w="4675"/>
            <w:shd w:fill="1F3864" w:color="auto" w:val="clear"/>
            <w:tcMar>
              <w:top w:type="dxa" w:w="80"/>
              <w:left w:type="dxa" w:w="100"/>
              <w:bottom w:type="dxa" w:w="80"/>
              <w:right w:type="dxa" w:w="100"/>
            </w:tcMar>
            <w:vAlign w:val="center"/>
          </w:tcPr>
          <w:p>
            <w:r>
              <w:rPr>
                <w:b/>
                <w:bCs/>
                <w:color w:val="FFFFFF"/>
                <w:sz w:val="18"/>
                <w:szCs w:val="18"/>
              </w:rPr>
              <w:t xml:space="preserve">Campo</w:t>
            </w:r>
          </w:p>
        </w:tc>
        <w:tc>
          <w:tcPr>
            <w:tcW w:type="dxa" w:w="4675"/>
            <w:shd w:fill="1F3864" w:color="auto" w:val="clear"/>
            <w:tcMar>
              <w:top w:type="dxa" w:w="80"/>
              <w:left w:type="dxa" w:w="100"/>
              <w:bottom w:type="dxa" w:w="80"/>
              <w:right w:type="dxa" w:w="100"/>
            </w:tcMar>
            <w:vAlign w:val="center"/>
          </w:tcPr>
          <w:p>
            <w:r>
              <w:rPr>
                <w:b/>
                <w:bCs/>
                <w:color w:val="FFFFFF"/>
                <w:sz w:val="18"/>
                <w:szCs w:val="18"/>
              </w:rPr>
              <w:t xml:space="preserve">Detalle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N° de orden</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Correlativo</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Proveedor</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Razón social, CUIT</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Detalle de bienes/servicios</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Descripción, cantidad, precio unitario</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Autorizaciones</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 de Administración y, según monto, de Representante Legal</w:t>
            </w:r>
          </w:p>
        </w:tc>
      </w:tr>
    </w:tbl>
    <w:p>
      <w:pPr>
        <w:spacing w:after="200"/>
      </w:pPr>
    </w:p>
    <w:p>
      <w:pPr>
        <w:pStyle w:val="Heading2"/>
        <w:spacing w:after="160" w:before="320"/>
      </w:pPr>
      <w:r>
        <w:rPr>
          <w:b/>
          <w:bCs/>
          <w:color w:val="1F3864"/>
        </w:rPr>
        <w:t xml:space="preserve">B.5 Acta de accidente escolar</w:t>
      </w:r>
    </w:p>
    <w:tbl>
      <w:tblPr>
        <w:tblW w:type="dxa" w:w="9350"/>
        <w:tblBorders>
          <w:top w:val="single" w:color="D9D9D9" w:sz="4"/>
          <w:left w:val="single" w:color="D9D9D9" w:sz="4"/>
          <w:bottom w:val="single" w:color="D9D9D9" w:sz="4"/>
          <w:right w:val="single" w:color="D9D9D9" w:sz="4"/>
          <w:insideH w:val="single" w:color="D9D9D9" w:sz="2"/>
          <w:insideV w:val="single" w:color="D9D9D9" w:sz="2"/>
        </w:tblBorders>
      </w:tblPr>
      <w:tblGrid>
        <w:gridCol w:w="4675"/>
        <w:gridCol w:w="4675"/>
      </w:tblGrid>
      <w:tr>
        <w:trPr>
          <w:tblHeader/>
        </w:trPr>
        <w:tc>
          <w:tcPr>
            <w:tcW w:type="dxa" w:w="4675"/>
            <w:shd w:fill="1F3864" w:color="auto" w:val="clear"/>
            <w:tcMar>
              <w:top w:type="dxa" w:w="80"/>
              <w:left w:type="dxa" w:w="100"/>
              <w:bottom w:type="dxa" w:w="80"/>
              <w:right w:type="dxa" w:w="100"/>
            </w:tcMar>
            <w:vAlign w:val="center"/>
          </w:tcPr>
          <w:p>
            <w:r>
              <w:rPr>
                <w:b/>
                <w:bCs/>
                <w:color w:val="FFFFFF"/>
                <w:sz w:val="18"/>
                <w:szCs w:val="18"/>
              </w:rPr>
              <w:t xml:space="preserve">Campo</w:t>
            </w:r>
          </w:p>
        </w:tc>
        <w:tc>
          <w:tcPr>
            <w:tcW w:type="dxa" w:w="4675"/>
            <w:shd w:fill="1F3864" w:color="auto" w:val="clear"/>
            <w:tcMar>
              <w:top w:type="dxa" w:w="80"/>
              <w:left w:type="dxa" w:w="100"/>
              <w:bottom w:type="dxa" w:w="80"/>
              <w:right w:type="dxa" w:w="100"/>
            </w:tcMar>
            <w:vAlign w:val="center"/>
          </w:tcPr>
          <w:p>
            <w:r>
              <w:rPr>
                <w:b/>
                <w:bCs/>
                <w:color w:val="FFFFFF"/>
                <w:sz w:val="18"/>
                <w:szCs w:val="18"/>
              </w:rPr>
              <w:t xml:space="preserve">Detalle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Datos del alumno/a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Apellido y nombre, sección</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Fecha y hora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Descripción del hecho</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Circunstancias, lugar</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Atención brindada</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Primeros auxilios, traslado si correspondió</w:t>
            </w:r>
          </w:p>
        </w:tc>
      </w:tr>
      <w:tr>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Comunicación a la familia</w:t>
            </w:r>
          </w:p>
        </w:tc>
        <w:tc>
          <w:tcPr>
            <w:tcW w:type="dxa" w:w="4675"/>
            <w:tcMar>
              <w:top w:type="dxa" w:w="70"/>
              <w:left w:type="dxa" w:w="100"/>
              <w:bottom w:type="dxa" w:w="70"/>
              <w:right w:type="dxa" w:w="100"/>
            </w:tcMar>
            <w:vAlign w:val="center"/>
          </w:tcPr>
          <w:p>
            <w:pPr>
              <w:spacing w:after="0"/>
            </w:pPr>
            <w:r>
              <w:rPr>
                <w:b w:val="false"/>
                <w:bCs w:val="false"/>
                <w:color w:val="262626"/>
                <w:sz w:val="21"/>
                <w:szCs w:val="21"/>
              </w:rPr>
              <w:t xml:space="preserve">Medio y hora de la notificación</w:t>
            </w:r>
          </w:p>
        </w:tc>
      </w:tr>
      <w:tr>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Firmas</w:t>
            </w:r>
          </w:p>
        </w:tc>
        <w:tc>
          <w:tcPr>
            <w:tcW w:type="dxa" w:w="4675"/>
            <w:shd w:fill="F2F2F2" w:color="auto" w:val="clear"/>
            <w:tcMar>
              <w:top w:type="dxa" w:w="70"/>
              <w:left w:type="dxa" w:w="100"/>
              <w:bottom w:type="dxa" w:w="70"/>
              <w:right w:type="dxa" w:w="100"/>
            </w:tcMar>
            <w:vAlign w:val="center"/>
          </w:tcPr>
          <w:p>
            <w:pPr>
              <w:spacing w:after="0"/>
            </w:pPr>
            <w:r>
              <w:rPr>
                <w:b w:val="false"/>
                <w:bCs w:val="false"/>
                <w:color w:val="262626"/>
                <w:sz w:val="21"/>
                <w:szCs w:val="21"/>
              </w:rPr>
              <w:t xml:space="preserve">Personal interviniente, Dirección</w:t>
            </w:r>
          </w:p>
        </w:tc>
      </w:tr>
    </w:tbl>
    <w:p>
      <w:pPr>
        <w:spacing w:after="200"/>
      </w:pPr>
    </w:p>
    <w:p>
      <w:pPr>
        <w:pStyle w:val="Heading1"/>
        <w:pageBreakBefore/>
        <w:pBdr>
          <w:bottom w:val="single" w:color="1F3864" w:sz="12" w:space="8"/>
        </w:pBdr>
        <w:spacing w:after="240" w:before="0"/>
      </w:pPr>
      <w:r>
        <w:rPr>
          <w:b/>
          <w:bCs/>
          <w:color w:val="1F3864"/>
        </w:rPr>
        <w:t xml:space="preserve">ANEXO C — FLUJOGRAMAS RESUMIDOS DE LOS PRINCIPALES CIRCUITOS</w:t>
      </w:r>
    </w:p>
    <w:p>
      <w:pPr>
        <w:pStyle w:val="Heading2"/>
        <w:spacing w:after="160" w:before="320"/>
      </w:pPr>
      <w:r>
        <w:rPr>
          <w:b/>
          <w:bCs/>
          <w:color w:val="1F3864"/>
        </w:rPr>
        <w:t xml:space="preserve">C.1 Admisión</w:t>
      </w:r>
    </w:p>
    <w:p>
      <w:pPr>
        <w:spacing w:after="160" w:line="300"/>
        <w:jc w:val="both"/>
      </w:pPr>
      <w:r>
        <w:rPr>
          <w:b w:val="false"/>
          <w:bCs w:val="false"/>
          <w:color w:val="262626"/>
          <w:sz w:val="21"/>
          <w:szCs w:val="21"/>
        </w:rPr>
        <w:t xml:space="preserve">Preinscripción → Entrevista → Evaluación pedagógica (si aplica) → Verificación de vacante → Reserva → Entrega de documentación → Matriculación en Libro Matriz → Comunicación a la autoridad educativa.</w:t>
      </w:r>
    </w:p>
    <w:p>
      <w:pPr>
        <w:pStyle w:val="Heading2"/>
        <w:spacing w:after="160" w:before="320"/>
      </w:pPr>
      <w:r>
        <w:rPr>
          <w:b/>
          <w:bCs/>
          <w:color w:val="1F3864"/>
        </w:rPr>
        <w:t xml:space="preserve">C.2 Cobranza y mora</w:t>
      </w:r>
    </w:p>
    <w:p>
      <w:pPr>
        <w:spacing w:after="160" w:line="300"/>
        <w:jc w:val="both"/>
      </w:pPr>
      <w:r>
        <w:rPr>
          <w:b w:val="false"/>
          <w:bCs w:val="false"/>
          <w:color w:val="262626"/>
          <w:sz w:val="21"/>
          <w:szCs w:val="21"/>
        </w:rPr>
        <w:t xml:space="preserve">Facturación → Vencimiento → Pago en término (fin del circuito) o Mora → Notificación a los 10 días → Notificación y plan de pago a los 30 días → Evaluación de Dirección General/Administración → Resolución documentada.</w:t>
      </w:r>
    </w:p>
    <w:p>
      <w:pPr>
        <w:pStyle w:val="Heading2"/>
        <w:spacing w:after="160" w:before="320"/>
      </w:pPr>
      <w:r>
        <w:rPr>
          <w:b/>
          <w:bCs/>
          <w:color w:val="1F3864"/>
        </w:rPr>
        <w:t xml:space="preserve">C.3 Compras</w:t>
      </w:r>
    </w:p>
    <w:p>
      <w:pPr>
        <w:spacing w:after="160" w:line="300"/>
        <w:jc w:val="both"/>
      </w:pPr>
      <w:r>
        <w:rPr>
          <w:b w:val="false"/>
          <w:bCs w:val="false"/>
          <w:color w:val="262626"/>
          <w:sz w:val="21"/>
          <w:szCs w:val="21"/>
        </w:rPr>
        <w:t xml:space="preserve">Solicitud → Cotización (mínimo 3 presupuestos) → Autorización → Orden de compra → Recepción y control → Registro y pago → Archivo.</w:t>
      </w:r>
    </w:p>
    <w:p>
      <w:pPr>
        <w:pStyle w:val="Heading2"/>
        <w:spacing w:after="160" w:before="320"/>
      </w:pPr>
      <w:r>
        <w:rPr>
          <w:b/>
          <w:bCs/>
          <w:color w:val="1F3864"/>
        </w:rPr>
        <w:t xml:space="preserve">C.4 Baja de personal</w:t>
      </w:r>
    </w:p>
    <w:p>
      <w:pPr>
        <w:spacing w:after="160" w:line="300"/>
        <w:jc w:val="both"/>
      </w:pPr>
      <w:r>
        <w:rPr>
          <w:b w:val="false"/>
          <w:bCs w:val="false"/>
          <w:color w:val="262626"/>
          <w:sz w:val="21"/>
          <w:szCs w:val="21"/>
        </w:rPr>
        <w:t xml:space="preserve">Decisión de desvinculación → Comunicación formal → Liquidación final → Baja ante ARCA/ART/obra social → Entrega de certificados (Art. 80 LCT) → Archivo del legajo.</w:t>
      </w:r>
    </w:p>
    <w:p>
      <w:pPr>
        <w:pStyle w:val="Heading1"/>
        <w:pageBreakBefore/>
        <w:pBdr>
          <w:bottom w:val="single" w:color="1F3864" w:sz="12" w:space="8"/>
        </w:pBdr>
        <w:spacing w:after="240" w:before="0"/>
      </w:pPr>
      <w:r>
        <w:rPr>
          <w:b/>
          <w:bCs/>
          <w:color w:val="1F3864"/>
        </w:rPr>
        <w:t xml:space="preserve">ANEXO D — NORMATIVA DE REFERENCIA CITADA (VERIFICADA)</w:t>
      </w:r>
    </w:p>
    <w:p>
      <w:pPr>
        <w:pStyle w:val="ListParagraph"/>
        <w:numPr>
          <w:ilvl w:val="0"/>
          <w:numId w:val="1"/>
        </w:numPr>
        <w:spacing w:after="60"/>
      </w:pPr>
      <w:r>
        <w:rPr>
          <w:b w:val="false"/>
          <w:bCs w:val="false"/>
          <w:color w:val="262626"/>
          <w:sz w:val="21"/>
          <w:szCs w:val="21"/>
        </w:rPr>
        <w:t xml:space="preserve">Ley N° 26.206, Ley de Educación Nacional.</w:t>
      </w:r>
    </w:p>
    <w:p>
      <w:pPr>
        <w:pStyle w:val="ListParagraph"/>
        <w:numPr>
          <w:ilvl w:val="0"/>
          <w:numId w:val="1"/>
        </w:numPr>
        <w:spacing w:after="60"/>
      </w:pPr>
      <w:r>
        <w:rPr>
          <w:b w:val="false"/>
          <w:bCs w:val="false"/>
          <w:color w:val="262626"/>
          <w:sz w:val="21"/>
          <w:szCs w:val="21"/>
        </w:rPr>
        <w:t xml:space="preserve">Ley N° 13.047, Estatuto del Docente de Establecimientos de Enseñanza Privada.</w:t>
      </w:r>
    </w:p>
    <w:p>
      <w:pPr>
        <w:pStyle w:val="ListParagraph"/>
        <w:numPr>
          <w:ilvl w:val="0"/>
          <w:numId w:val="1"/>
        </w:numPr>
        <w:spacing w:after="60"/>
      </w:pPr>
      <w:r>
        <w:rPr>
          <w:b w:val="false"/>
          <w:bCs w:val="false"/>
          <w:color w:val="262626"/>
          <w:sz w:val="21"/>
          <w:szCs w:val="21"/>
        </w:rPr>
        <w:t xml:space="preserve">Ley N° 24.049, Transferencia de servicios educativos.</w:t>
      </w:r>
    </w:p>
    <w:p>
      <w:pPr>
        <w:pStyle w:val="ListParagraph"/>
        <w:numPr>
          <w:ilvl w:val="0"/>
          <w:numId w:val="1"/>
        </w:numPr>
        <w:spacing w:after="60"/>
      </w:pPr>
      <w:r>
        <w:rPr>
          <w:b w:val="false"/>
          <w:bCs w:val="false"/>
          <w:color w:val="262626"/>
          <w:sz w:val="21"/>
          <w:szCs w:val="21"/>
        </w:rPr>
        <w:t xml:space="preserve">Ley N° 20.744, Ley de Contrato de Trabajo.</w:t>
      </w:r>
    </w:p>
    <w:p>
      <w:pPr>
        <w:pStyle w:val="ListParagraph"/>
        <w:numPr>
          <w:ilvl w:val="0"/>
          <w:numId w:val="1"/>
        </w:numPr>
        <w:spacing w:after="60"/>
      </w:pPr>
      <w:r>
        <w:rPr>
          <w:b w:val="false"/>
          <w:bCs w:val="false"/>
          <w:color w:val="262626"/>
          <w:sz w:val="21"/>
          <w:szCs w:val="21"/>
        </w:rPr>
        <w:t xml:space="preserve">Ley N° 24.557, Ley de Riesgos del Trabajo.</w:t>
      </w:r>
    </w:p>
    <w:p>
      <w:pPr>
        <w:pStyle w:val="ListParagraph"/>
        <w:numPr>
          <w:ilvl w:val="0"/>
          <w:numId w:val="1"/>
        </w:numPr>
        <w:spacing w:after="60"/>
      </w:pPr>
      <w:r>
        <w:rPr>
          <w:b w:val="false"/>
          <w:bCs w:val="false"/>
          <w:color w:val="262626"/>
          <w:sz w:val="21"/>
          <w:szCs w:val="21"/>
        </w:rPr>
        <w:t xml:space="preserve">Ley N° 25.326, Ley de Protección de los Datos Personales.</w:t>
      </w:r>
    </w:p>
    <w:p>
      <w:pPr>
        <w:pStyle w:val="ListParagraph"/>
        <w:numPr>
          <w:ilvl w:val="0"/>
          <w:numId w:val="1"/>
        </w:numPr>
        <w:spacing w:after="60"/>
      </w:pPr>
      <w:r>
        <w:rPr>
          <w:b w:val="false"/>
          <w:bCs w:val="false"/>
          <w:color w:val="262626"/>
          <w:sz w:val="21"/>
          <w:szCs w:val="21"/>
        </w:rPr>
        <w:t xml:space="preserve">Decreto N° 953/2024, creación de la Agencia de Recaudación y Control Aduanero (ARCA) en reemplazo de la AFIP.</w:t>
      </w:r>
    </w:p>
    <w:p>
      <w:pPr>
        <w:pStyle w:val="ListParagraph"/>
        <w:numPr>
          <w:ilvl w:val="0"/>
          <w:numId w:val="1"/>
        </w:numPr>
        <w:spacing w:after="60"/>
      </w:pPr>
      <w:r>
        <w:rPr>
          <w:b w:val="false"/>
          <w:bCs w:val="false"/>
          <w:color w:val="262626"/>
          <w:sz w:val="21"/>
          <w:szCs w:val="21"/>
        </w:rPr>
        <w:t xml:space="preserve">Ley N° 10.579 (Estatuto del Docente, Provincia de Buenos Aires) y su Decreto Reglamentario N° 2.988/2002, citados a título de modelo de referencia.</w:t>
      </w:r>
    </w:p>
    <w:p>
      <w:pPr>
        <w:pBdr>
          <w:left w:val="single" w:color="9C7A24" w:sz="18" w:space="8"/>
        </w:pBdr>
        <w:shd w:fill="FBF6EC" w:color="auto" w:val="clear"/>
        <w:spacing w:after="120" w:before="120"/>
        <w:ind w:left="360"/>
      </w:pPr>
      <w:r>
        <w:rPr>
          <w:i/>
          <w:iCs/>
          <w:color w:val="595959"/>
          <w:sz w:val="20"/>
          <w:szCs w:val="20"/>
        </w:rPr>
        <w:t xml:space="preserve">Este anexo lista únicamente la normativa verificada durante la elaboración del Manual (agosto de 2026). Se recomienda que el colegio incorpore aquí la normativa específica de su propia jurisdicción antes de la puesta en vigencia.</w:t>
      </w:r>
    </w:p>
    <w:sectPr>
      <w:headerReference w:type="default" r:id="rId7"/>
      <w:footerReference w:type="default" r:id="rId8"/>
      <w:pgSz w:w="12240" w:h="15840" w:orient="portrait"/>
      <w:pgMar w:top="1080" w:right="1152" w:bottom="1080"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jc w:val="center"/>
    </w:pPr>
    <w:r>
      <w:rPr>
        <w:color w:val="808080"/>
        <w:sz w:val="15"/>
        <w:szCs w:val="15"/>
      </w:rPr>
      <w:t xml:space="preserve">Página </w:t>
    </w:r>
    <w:r>
      <w:rPr>
        <w:color w:val="808080"/>
        <w:sz w:val="15"/>
        <w:szCs w:val="15"/>
      </w:rPr>
      <w:fldChar w:fldCharType="begin"/>
      <w:instrText xml:space="preserve">PAGE</w:instrText>
      <w:fldChar w:fldCharType="separate"/>
      <w:fldChar w:fldCharType="end"/>
    </w:r>
    <w:r>
      <w:rPr>
        <w:color w:val="808080"/>
        <w:sz w:val="15"/>
        <w:szCs w:val="15"/>
      </w:rPr>
      <w:t xml:space="preserve"> de </w:t>
    </w:r>
    <w:r>
      <w:rPr>
        <w:color w:val="808080"/>
        <w:sz w:val="15"/>
        <w:szCs w:val="15"/>
      </w:rPr>
      <w:fldChar w:fldCharType="begin"/>
      <w:instrText xml:space="preserve">NUMPAGES</w:instrText>
      <w:fldChar w:fldCharType="separate"/>
      <w:fldChar w:fldCharType="end"/>
    </w:r>
    <w:r>
      <w:rPr>
        <w:color w:val="808080"/>
        <w:sz w:val="15"/>
        <w:szCs w:val="15"/>
      </w:rPr>
      <w:t xml:space="preserve">  |  Uso interno — confidencial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i/>
        <w:iCs/>
        <w:color w:val="808080"/>
        <w:sz w:val="15"/>
        <w:szCs w:val="15"/>
      </w:rPr>
      <w:t xml:space="preserve">Manual de Procedimientos Administrativos — [Nombre del Colegio]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lvl w:ilvl="1" w15:tentative="1">
      <w:start w:val="1"/>
      <w:numFmt w:val="bullet"/>
      <w:lvlText w:val="–"/>
      <w:lvlJc w:val="left"/>
      <w:pPr>
        <w:ind w:left="8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160" w:before="320"/>
      <w:outlineLvl w:val="1"/>
    </w:pPr>
    <w:rPr>
      <w:rFonts w:ascii="Calibri" w:cs="Calibri" w:eastAsia="Calibri" w:hAnsi="Calibri"/>
      <w:b/>
      <w:bCs/>
      <w:color w:val="1F3864"/>
      <w:sz w:val="25"/>
      <w:szCs w:val="25"/>
    </w:rPr>
  </w:style>
  <w:style w:type="paragraph" w:styleId="Heading3">
    <w:name w:val="Heading 3"/>
    <w:basedOn w:val="Normal"/>
    <w:next w:val="Normal"/>
    <w:qFormat/>
    <w:pPr>
      <w:spacing w:after="120" w:before="240"/>
      <w:outlineLvl w:val="2"/>
    </w:pPr>
    <w:rPr>
      <w:rFonts w:ascii="Calibri" w:cs="Calibri" w:eastAsia="Calibri" w:hAnsi="Calibri"/>
      <w:b/>
      <w:bCs/>
      <w:color w:val="9C7A2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2026-08-19T22:36:41.839Z</dcterms:created>
  <dcterms:modified xsi:type="dcterms:W3CDTF">2026-08-19T22:36:41.840Z</dcterms:modified>
</cp:coreProperties>
</file>

<file path=docProps/custom.xml><?xml version="1.0" encoding="utf-8"?>
<Properties xmlns="http://schemas.openxmlformats.org/officeDocument/2006/custom-properties" xmlns:vt="http://schemas.openxmlformats.org/officeDocument/2006/docPropsVTypes"/>
</file>